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90DD5" w:rsidRDefault="00A90DD5">
      <w:pPr>
        <w:widowControl/>
        <w:spacing w:line="1200" w:lineRule="exact"/>
        <w:jc w:val="center"/>
        <w:rPr>
          <w:rFonts w:asciiTheme="minorEastAsia" w:eastAsiaTheme="minorEastAsia" w:hAnsi="宋体"/>
          <w:color w:val="000000" w:themeColor="text1"/>
          <w:sz w:val="96"/>
          <w:szCs w:val="96"/>
        </w:rPr>
      </w:pPr>
    </w:p>
    <w:p w:rsidR="00A90DD5" w:rsidRDefault="00A90DD5">
      <w:pPr>
        <w:widowControl/>
        <w:spacing w:line="1200" w:lineRule="exact"/>
        <w:jc w:val="center"/>
        <w:rPr>
          <w:rFonts w:asciiTheme="minorEastAsia" w:eastAsiaTheme="minorEastAsia" w:hAnsi="宋体"/>
          <w:color w:val="000000" w:themeColor="text1"/>
          <w:sz w:val="96"/>
          <w:szCs w:val="96"/>
        </w:rPr>
      </w:pPr>
    </w:p>
    <w:p w:rsidR="00A90DD5" w:rsidRDefault="00155BB9">
      <w:pPr>
        <w:widowControl/>
        <w:spacing w:line="1200" w:lineRule="exact"/>
        <w:jc w:val="center"/>
        <w:rPr>
          <w:color w:val="000000" w:themeColor="text1"/>
          <w:sz w:val="96"/>
          <w:szCs w:val="96"/>
        </w:rPr>
      </w:pPr>
      <w:r>
        <w:rPr>
          <w:sz w:val="84"/>
          <w:szCs w:val="84"/>
        </w:rPr>
        <w:t>201</w:t>
      </w:r>
      <w:r>
        <w:rPr>
          <w:rFonts w:hint="eastAsia"/>
          <w:sz w:val="84"/>
          <w:szCs w:val="84"/>
        </w:rPr>
        <w:t>9</w:t>
      </w:r>
      <w:r>
        <w:rPr>
          <w:sz w:val="84"/>
          <w:szCs w:val="84"/>
        </w:rPr>
        <w:t>年度部门决算公开</w:t>
      </w:r>
    </w:p>
    <w:p w:rsidR="00A90DD5" w:rsidRDefault="00A90DD5">
      <w:pPr>
        <w:widowControl/>
        <w:jc w:val="center"/>
        <w:rPr>
          <w:rFonts w:asciiTheme="minorEastAsia" w:eastAsiaTheme="minorEastAsia" w:hAnsi="宋体"/>
          <w:color w:val="002060"/>
          <w:sz w:val="72"/>
          <w:szCs w:val="72"/>
        </w:rPr>
      </w:pPr>
    </w:p>
    <w:p w:rsidR="00A90DD5" w:rsidRDefault="00A90DD5">
      <w:pPr>
        <w:widowControl/>
        <w:jc w:val="center"/>
        <w:rPr>
          <w:rFonts w:asciiTheme="minorEastAsia" w:eastAsiaTheme="minorEastAsia" w:hAnsiTheme="minorEastAsia"/>
          <w:b/>
          <w:sz w:val="72"/>
          <w:szCs w:val="72"/>
        </w:rPr>
      </w:pPr>
    </w:p>
    <w:p w:rsidR="00A90DD5" w:rsidRDefault="00A90DD5">
      <w:pPr>
        <w:widowControl/>
        <w:jc w:val="center"/>
        <w:rPr>
          <w:rFonts w:asciiTheme="minorEastAsia" w:eastAsiaTheme="minorEastAsia" w:hAnsiTheme="minorEastAsia"/>
          <w:b/>
          <w:sz w:val="72"/>
          <w:szCs w:val="72"/>
        </w:rPr>
      </w:pPr>
    </w:p>
    <w:p w:rsidR="00A90DD5" w:rsidRDefault="00A90DD5">
      <w:pPr>
        <w:widowControl/>
        <w:jc w:val="center"/>
        <w:rPr>
          <w:rFonts w:asciiTheme="minorEastAsia" w:eastAsiaTheme="minorEastAsia" w:hAnsiTheme="minorEastAsia"/>
          <w:b/>
          <w:sz w:val="72"/>
          <w:szCs w:val="72"/>
        </w:rPr>
      </w:pPr>
    </w:p>
    <w:p w:rsidR="00A90DD5" w:rsidRDefault="00A90DD5">
      <w:pPr>
        <w:widowControl/>
        <w:rPr>
          <w:rFonts w:asciiTheme="minorEastAsia" w:eastAsiaTheme="minorEastAsia" w:hAnsiTheme="minorEastAsia"/>
          <w:b/>
          <w:sz w:val="72"/>
          <w:szCs w:val="72"/>
        </w:rPr>
      </w:pPr>
    </w:p>
    <w:p w:rsidR="00A90DD5" w:rsidRDefault="00155BB9">
      <w:pPr>
        <w:widowControl/>
        <w:ind w:firstLineChars="650" w:firstLine="2871"/>
        <w:rPr>
          <w:b/>
          <w:sz w:val="44"/>
          <w:szCs w:val="44"/>
        </w:rPr>
      </w:pPr>
      <w:r>
        <w:rPr>
          <w:rFonts w:hint="eastAsia"/>
          <w:b/>
          <w:sz w:val="44"/>
          <w:szCs w:val="44"/>
        </w:rPr>
        <w:t>霸州</w:t>
      </w:r>
      <w:r>
        <w:rPr>
          <w:b/>
          <w:sz w:val="44"/>
          <w:szCs w:val="44"/>
        </w:rPr>
        <w:t>市</w:t>
      </w:r>
      <w:r>
        <w:rPr>
          <w:rFonts w:hint="eastAsia"/>
          <w:b/>
          <w:sz w:val="44"/>
          <w:szCs w:val="44"/>
        </w:rPr>
        <w:t>胜芳镇</w:t>
      </w:r>
    </w:p>
    <w:p w:rsidR="00A90DD5" w:rsidRDefault="00155BB9">
      <w:pPr>
        <w:widowControl/>
        <w:ind w:firstLineChars="650" w:firstLine="2871"/>
        <w:rPr>
          <w:rFonts w:ascii="楷体" w:eastAsia="楷体" w:hAnsi="楷体" w:cs="楷体"/>
          <w:b/>
          <w:sz w:val="44"/>
          <w:szCs w:val="44"/>
        </w:rPr>
        <w:sectPr w:rsidR="00A90DD5">
          <w:pgSz w:w="11906" w:h="16838"/>
          <w:pgMar w:top="2098" w:right="1474" w:bottom="1985" w:left="1588" w:header="851" w:footer="992" w:gutter="0"/>
          <w:cols w:space="425"/>
          <w:docGrid w:type="lines" w:linePitch="312"/>
        </w:sectPr>
      </w:pPr>
      <w:r>
        <w:rPr>
          <w:rFonts w:hint="eastAsia"/>
          <w:b/>
          <w:sz w:val="44"/>
          <w:szCs w:val="44"/>
        </w:rPr>
        <w:t>二〇二〇年九月</w:t>
      </w:r>
    </w:p>
    <w:p w:rsidR="00A90DD5" w:rsidRDefault="00155BB9">
      <w:pPr>
        <w:spacing w:beforeLines="200" w:before="624" w:after="0" w:line="1000" w:lineRule="exact"/>
        <w:jc w:val="center"/>
        <w:rPr>
          <w:rFonts w:ascii="黑体" w:eastAsia="黑体"/>
          <w:sz w:val="48"/>
          <w:szCs w:val="48"/>
        </w:rPr>
      </w:pPr>
      <w:r>
        <w:rPr>
          <w:rFonts w:ascii="黑体" w:eastAsia="黑体" w:hint="eastAsia"/>
          <w:sz w:val="48"/>
          <w:szCs w:val="48"/>
        </w:rPr>
        <w:lastRenderedPageBreak/>
        <w:t>目    录</w:t>
      </w:r>
    </w:p>
    <w:p w:rsidR="00A90DD5" w:rsidRDefault="00A90DD5">
      <w:pPr>
        <w:widowControl/>
        <w:spacing w:line="580" w:lineRule="exact"/>
        <w:ind w:firstLineChars="200" w:firstLine="640"/>
        <w:rPr>
          <w:rFonts w:eastAsia="黑体"/>
          <w:sz w:val="32"/>
          <w:szCs w:val="32"/>
        </w:rPr>
      </w:pPr>
    </w:p>
    <w:p w:rsidR="00A90DD5" w:rsidRDefault="00155BB9">
      <w:pPr>
        <w:widowControl/>
        <w:spacing w:line="580" w:lineRule="exact"/>
        <w:ind w:firstLineChars="200" w:firstLine="640"/>
        <w:rPr>
          <w:rFonts w:eastAsia="仿宋_GB2312"/>
          <w:sz w:val="24"/>
          <w:szCs w:val="32"/>
        </w:rPr>
      </w:pPr>
      <w:r>
        <w:rPr>
          <w:rFonts w:eastAsia="黑体"/>
          <w:sz w:val="32"/>
          <w:szCs w:val="32"/>
        </w:rPr>
        <w:t>第一部分</w:t>
      </w:r>
      <w:r>
        <w:rPr>
          <w:rFonts w:eastAsia="黑体" w:hint="eastAsia"/>
          <w:sz w:val="32"/>
          <w:szCs w:val="32"/>
        </w:rPr>
        <w:t xml:space="preserve">  </w:t>
      </w:r>
      <w:r>
        <w:rPr>
          <w:rFonts w:eastAsia="黑体"/>
          <w:sz w:val="32"/>
          <w:szCs w:val="32"/>
        </w:rPr>
        <w:t>部门概况</w:t>
      </w:r>
    </w:p>
    <w:p w:rsidR="00A90DD5" w:rsidRDefault="00155BB9">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A90DD5" w:rsidRDefault="00155BB9">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A90DD5" w:rsidRDefault="00155BB9">
      <w:pPr>
        <w:widowControl/>
        <w:spacing w:line="580" w:lineRule="exact"/>
        <w:ind w:firstLineChars="200" w:firstLine="640"/>
        <w:rPr>
          <w:rFonts w:eastAsia="黑体"/>
          <w:sz w:val="32"/>
          <w:szCs w:val="32"/>
        </w:rPr>
      </w:pPr>
      <w:r>
        <w:rPr>
          <w:rFonts w:eastAsia="黑体"/>
          <w:sz w:val="32"/>
          <w:szCs w:val="32"/>
        </w:rPr>
        <w:t>第二部分</w:t>
      </w:r>
      <w:r>
        <w:rPr>
          <w:rFonts w:eastAsia="黑体"/>
          <w:sz w:val="32"/>
          <w:szCs w:val="32"/>
        </w:rPr>
        <w:t xml:space="preserve">   201</w:t>
      </w:r>
      <w:r>
        <w:rPr>
          <w:rFonts w:eastAsia="黑体" w:hint="eastAsia"/>
          <w:sz w:val="32"/>
          <w:szCs w:val="32"/>
        </w:rPr>
        <w:t>9</w:t>
      </w:r>
      <w:r>
        <w:rPr>
          <w:rFonts w:eastAsia="黑体"/>
          <w:sz w:val="32"/>
          <w:szCs w:val="32"/>
        </w:rPr>
        <w:t>年部门决算</w:t>
      </w:r>
      <w:r>
        <w:rPr>
          <w:rFonts w:eastAsia="黑体" w:hint="eastAsia"/>
          <w:sz w:val="32"/>
          <w:szCs w:val="32"/>
        </w:rPr>
        <w:t>情况说明</w:t>
      </w:r>
    </w:p>
    <w:p w:rsidR="00A90DD5" w:rsidRDefault="00155BB9">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A90DD5" w:rsidRDefault="00155BB9">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A90DD5" w:rsidRDefault="00155BB9">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A90DD5" w:rsidRDefault="00155BB9">
      <w:pPr>
        <w:widowControl/>
        <w:spacing w:line="580" w:lineRule="exact"/>
        <w:ind w:left="640" w:firstLineChars="200" w:firstLine="640"/>
        <w:rPr>
          <w:rFonts w:eastAsia="仿宋_GB2312"/>
          <w:sz w:val="32"/>
          <w:szCs w:val="32"/>
        </w:rPr>
      </w:pPr>
      <w:r>
        <w:rPr>
          <w:rFonts w:eastAsia="仿宋_GB2312"/>
          <w:sz w:val="32"/>
          <w:szCs w:val="32"/>
        </w:rPr>
        <w:t>四、财政拨款收入支出决算</w:t>
      </w:r>
      <w:r>
        <w:rPr>
          <w:rFonts w:eastAsia="仿宋_GB2312" w:hint="eastAsia"/>
          <w:sz w:val="32"/>
          <w:szCs w:val="32"/>
        </w:rPr>
        <w:t>总体</w:t>
      </w:r>
      <w:r>
        <w:rPr>
          <w:rFonts w:eastAsia="仿宋_GB2312"/>
          <w:sz w:val="32"/>
          <w:szCs w:val="32"/>
        </w:rPr>
        <w:t>情况说明</w:t>
      </w:r>
    </w:p>
    <w:p w:rsidR="00A90DD5" w:rsidRDefault="00155BB9">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Pr>
          <w:rFonts w:eastAsia="仿宋_GB2312"/>
          <w:sz w:val="32"/>
          <w:szCs w:val="32"/>
        </w:rPr>
        <w:t xml:space="preserve"> “</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A90DD5" w:rsidRDefault="00155BB9">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A90DD5" w:rsidRDefault="00155BB9">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A90DD5" w:rsidRDefault="00155BB9">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名词解释</w:t>
      </w:r>
    </w:p>
    <w:p w:rsidR="00A90DD5" w:rsidRDefault="00155BB9">
      <w:pPr>
        <w:widowControl/>
        <w:spacing w:line="580" w:lineRule="exact"/>
        <w:ind w:firstLineChars="200" w:firstLine="640"/>
        <w:rPr>
          <w:rFonts w:eastAsia="黑体"/>
          <w:sz w:val="32"/>
          <w:szCs w:val="32"/>
        </w:rPr>
      </w:pPr>
      <w:r>
        <w:rPr>
          <w:rFonts w:eastAsia="黑体"/>
          <w:sz w:val="32"/>
          <w:szCs w:val="32"/>
        </w:rPr>
        <w:t>第四部分</w:t>
      </w:r>
      <w:r>
        <w:rPr>
          <w:rFonts w:eastAsia="黑体" w:hint="eastAsia"/>
          <w:sz w:val="32"/>
          <w:szCs w:val="32"/>
        </w:rPr>
        <w:t xml:space="preserve">  </w:t>
      </w:r>
      <w:r>
        <w:rPr>
          <w:rFonts w:eastAsia="黑体"/>
          <w:sz w:val="32"/>
          <w:szCs w:val="32"/>
        </w:rPr>
        <w:t>201</w:t>
      </w:r>
      <w:r>
        <w:rPr>
          <w:rFonts w:eastAsia="黑体" w:hint="eastAsia"/>
          <w:sz w:val="32"/>
          <w:szCs w:val="32"/>
        </w:rPr>
        <w:t>9</w:t>
      </w:r>
      <w:r>
        <w:rPr>
          <w:rFonts w:eastAsia="黑体"/>
          <w:sz w:val="32"/>
          <w:szCs w:val="32"/>
        </w:rPr>
        <w:t>年</w:t>
      </w:r>
      <w:r>
        <w:rPr>
          <w:rFonts w:eastAsia="黑体" w:hint="eastAsia"/>
          <w:sz w:val="32"/>
          <w:szCs w:val="32"/>
        </w:rPr>
        <w:t>度</w:t>
      </w:r>
      <w:r>
        <w:rPr>
          <w:rFonts w:eastAsia="黑体"/>
          <w:sz w:val="32"/>
          <w:szCs w:val="32"/>
        </w:rPr>
        <w:t>部门决算</w:t>
      </w:r>
      <w:r>
        <w:rPr>
          <w:rFonts w:eastAsia="黑体" w:hint="eastAsia"/>
          <w:sz w:val="32"/>
          <w:szCs w:val="32"/>
        </w:rPr>
        <w:t>报表</w:t>
      </w:r>
    </w:p>
    <w:p w:rsidR="00A90DD5" w:rsidRDefault="00155BB9">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A90DD5" w:rsidRDefault="00155BB9">
      <w:pPr>
        <w:widowControl/>
        <w:spacing w:line="580" w:lineRule="exact"/>
        <w:ind w:left="640" w:firstLineChars="200" w:firstLine="640"/>
        <w:rPr>
          <w:rFonts w:eastAsia="仿宋_GB2312"/>
          <w:sz w:val="32"/>
          <w:szCs w:val="32"/>
        </w:rPr>
      </w:pPr>
      <w:r>
        <w:rPr>
          <w:rFonts w:eastAsia="仿宋_GB2312"/>
          <w:sz w:val="32"/>
          <w:szCs w:val="32"/>
        </w:rPr>
        <w:lastRenderedPageBreak/>
        <w:t>二、收入决算表</w:t>
      </w:r>
    </w:p>
    <w:p w:rsidR="00A90DD5" w:rsidRDefault="00155BB9">
      <w:pPr>
        <w:widowControl/>
        <w:spacing w:line="580" w:lineRule="exact"/>
        <w:ind w:left="640" w:firstLineChars="200" w:firstLine="640"/>
        <w:rPr>
          <w:rFonts w:eastAsia="仿宋_GB2312"/>
          <w:sz w:val="32"/>
          <w:szCs w:val="32"/>
        </w:rPr>
      </w:pPr>
      <w:r>
        <w:rPr>
          <w:rFonts w:eastAsia="仿宋_GB2312"/>
          <w:sz w:val="32"/>
          <w:szCs w:val="32"/>
        </w:rPr>
        <w:t>三、支出决算表</w:t>
      </w:r>
    </w:p>
    <w:p w:rsidR="00A90DD5" w:rsidRDefault="00155BB9">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A90DD5" w:rsidRDefault="00155BB9">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A90DD5" w:rsidRDefault="00155BB9">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A90DD5" w:rsidRDefault="00155BB9">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A90DD5" w:rsidRDefault="00155BB9">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A90DD5" w:rsidRDefault="00155BB9">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A90DD5" w:rsidRDefault="00A90DD5"/>
    <w:p w:rsidR="00A90DD5" w:rsidRDefault="00A90DD5"/>
    <w:p w:rsidR="00A90DD5" w:rsidRDefault="00A90DD5"/>
    <w:p w:rsidR="00A90DD5" w:rsidRDefault="00A90DD5"/>
    <w:p w:rsidR="00A90DD5" w:rsidRDefault="00A90DD5"/>
    <w:p w:rsidR="00A90DD5" w:rsidRDefault="00A90DD5"/>
    <w:p w:rsidR="00A90DD5" w:rsidRDefault="00A90DD5"/>
    <w:p w:rsidR="00A90DD5" w:rsidRDefault="00A90DD5"/>
    <w:p w:rsidR="00A90DD5" w:rsidRDefault="00A90DD5"/>
    <w:p w:rsidR="00A90DD5" w:rsidRDefault="00A90DD5">
      <w:pPr>
        <w:widowControl/>
        <w:jc w:val="center"/>
        <w:rPr>
          <w:rFonts w:asciiTheme="minorEastAsia" w:eastAsiaTheme="minorEastAsia" w:hAnsi="宋体"/>
          <w:color w:val="000000" w:themeColor="text1"/>
          <w:sz w:val="96"/>
          <w:szCs w:val="96"/>
        </w:rPr>
      </w:pPr>
    </w:p>
    <w:p w:rsidR="00A90DD5" w:rsidRDefault="00A90DD5">
      <w:pPr>
        <w:widowControl/>
        <w:jc w:val="center"/>
        <w:rPr>
          <w:rFonts w:asciiTheme="minorEastAsia" w:eastAsiaTheme="minorEastAsia" w:hAnsi="宋体"/>
          <w:color w:val="000000" w:themeColor="text1"/>
          <w:sz w:val="96"/>
          <w:szCs w:val="96"/>
        </w:rPr>
      </w:pPr>
    </w:p>
    <w:p w:rsidR="00A90DD5" w:rsidRDefault="00A90DD5">
      <w:pPr>
        <w:widowControl/>
        <w:jc w:val="center"/>
        <w:rPr>
          <w:rFonts w:asciiTheme="minorEastAsia" w:eastAsiaTheme="minorEastAsia" w:hAnsi="宋体"/>
          <w:color w:val="000000" w:themeColor="text1"/>
          <w:sz w:val="96"/>
          <w:szCs w:val="96"/>
        </w:rPr>
      </w:pPr>
    </w:p>
    <w:p w:rsidR="00A90DD5" w:rsidRDefault="00A90DD5">
      <w:pPr>
        <w:widowControl/>
        <w:jc w:val="center"/>
        <w:rPr>
          <w:rFonts w:asciiTheme="minorEastAsia" w:eastAsiaTheme="minorEastAsia" w:hAnsi="宋体"/>
          <w:color w:val="000000" w:themeColor="text1"/>
          <w:sz w:val="96"/>
          <w:szCs w:val="96"/>
        </w:rPr>
      </w:pPr>
    </w:p>
    <w:p w:rsidR="00A90DD5" w:rsidRDefault="00155BB9">
      <w:pPr>
        <w:widowControl/>
        <w:jc w:val="center"/>
        <w:rPr>
          <w:color w:val="000000" w:themeColor="text1"/>
          <w:sz w:val="96"/>
          <w:szCs w:val="96"/>
        </w:rPr>
      </w:pPr>
      <w:r>
        <w:rPr>
          <w:rFonts w:asciiTheme="minorEastAsia" w:eastAsiaTheme="minorEastAsia" w:hAnsi="宋体" w:hint="eastAsia"/>
          <w:color w:val="000000" w:themeColor="text1"/>
          <w:sz w:val="96"/>
          <w:szCs w:val="96"/>
        </w:rPr>
        <w:t>第一部分  部门概况</w:t>
      </w:r>
    </w:p>
    <w:p w:rsidR="00A90DD5" w:rsidRDefault="00A90DD5">
      <w:pPr>
        <w:widowControl/>
        <w:jc w:val="center"/>
        <w:rPr>
          <w:color w:val="000000" w:themeColor="text1"/>
          <w:sz w:val="96"/>
          <w:szCs w:val="96"/>
        </w:rPr>
      </w:pPr>
    </w:p>
    <w:p w:rsidR="00A90DD5" w:rsidRDefault="00A90DD5">
      <w:pPr>
        <w:widowControl/>
        <w:jc w:val="center"/>
        <w:rPr>
          <w:color w:val="000000" w:themeColor="text1"/>
          <w:sz w:val="96"/>
          <w:szCs w:val="96"/>
        </w:rPr>
      </w:pPr>
    </w:p>
    <w:p w:rsidR="00A90DD5" w:rsidRDefault="00A90DD5">
      <w:pPr>
        <w:widowControl/>
        <w:jc w:val="center"/>
        <w:rPr>
          <w:color w:val="000000" w:themeColor="text1"/>
          <w:sz w:val="96"/>
          <w:szCs w:val="96"/>
        </w:rPr>
      </w:pPr>
    </w:p>
    <w:p w:rsidR="00A90DD5" w:rsidRDefault="00A90DD5">
      <w:pPr>
        <w:widowControl/>
        <w:jc w:val="center"/>
        <w:rPr>
          <w:color w:val="000000" w:themeColor="text1"/>
          <w:sz w:val="96"/>
          <w:szCs w:val="96"/>
        </w:rPr>
      </w:pPr>
    </w:p>
    <w:p w:rsidR="00A90DD5" w:rsidRDefault="00155BB9">
      <w:pPr>
        <w:pStyle w:val="1"/>
        <w:spacing w:before="0" w:after="0" w:line="600" w:lineRule="exact"/>
        <w:ind w:firstLineChars="200" w:firstLine="640"/>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A90DD5" w:rsidRDefault="00155BB9">
      <w:pPr>
        <w:ind w:firstLine="640"/>
        <w:rPr>
          <w:rFonts w:ascii="仿宋_GB2312" w:eastAsia="仿宋_GB2312"/>
          <w:sz w:val="32"/>
          <w:szCs w:val="32"/>
        </w:rPr>
      </w:pPr>
      <w:r>
        <w:rPr>
          <w:rFonts w:ascii="仿宋_GB2312" w:eastAsia="仿宋_GB2312" w:hint="eastAsia"/>
          <w:sz w:val="32"/>
          <w:szCs w:val="32"/>
        </w:rPr>
        <w:t>根据《霸州市胜芳镇职能配置、内设机构和人员编制规定》， 霸州市胜芳镇的主要职责是：</w:t>
      </w:r>
    </w:p>
    <w:p w:rsidR="00A90DD5" w:rsidRDefault="00155BB9">
      <w:pPr>
        <w:ind w:firstLine="640"/>
        <w:rPr>
          <w:rFonts w:ascii="仿宋_GB2312" w:eastAsia="仿宋_GB2312"/>
          <w:sz w:val="32"/>
          <w:szCs w:val="32"/>
        </w:rPr>
      </w:pPr>
      <w:r>
        <w:rPr>
          <w:rFonts w:ascii="仿宋_GB2312" w:eastAsia="仿宋_GB2312"/>
          <w:sz w:val="32"/>
          <w:szCs w:val="32"/>
        </w:rPr>
        <w:t>（一）党政综合办公室：主要负责镇内党务、政务和日常事务工作；负责文化宣传、新闻和精神文明工作；负责统战、宗教、法制工作；负责接待和对外联络工作；负责文秘、政策研究、文件收发、档案及机要保密工作；负责会务、电子政务、后勤保障等工作；负责工会、共青团、妇联工作；负责镇内党建工作；负责镇内基层政权建设和基层组织建设工作；负责镇内民兵武装工作；负责镇内人大、政协工作。</w:t>
      </w:r>
    </w:p>
    <w:p w:rsidR="00A90DD5" w:rsidRDefault="00155BB9">
      <w:pPr>
        <w:ind w:firstLine="640"/>
        <w:rPr>
          <w:rFonts w:ascii="仿宋_GB2312" w:eastAsia="仿宋_GB2312"/>
          <w:sz w:val="32"/>
          <w:szCs w:val="32"/>
        </w:rPr>
      </w:pPr>
      <w:r>
        <w:rPr>
          <w:rFonts w:ascii="仿宋_GB2312" w:eastAsia="仿宋_GB2312"/>
          <w:sz w:val="32"/>
          <w:szCs w:val="32"/>
        </w:rPr>
        <w:t>（二）财政和资产管理办公室：主要负责编制年度财政预、决算草案，执行镇政府批准的预算，以镇内财力进行综合平衡；管理各项财政性资金，监督、检查各类行政和企事业单位执行预算和财税法律、法规情况，实施财政监督；制定和实施招商引资财政扶持政策，参与制定有关经济政策，促进国民经济和社会发展；负责财政资金集中核算管理和财务代理，管理和指导财务会计工作，规范会议秩序；组织财政预算内和预算外收入，积极引进资金，搞好资金调度，严格控制支出，实现财政收支平衡；负责政府采购和农业税收的征收和管理；负责镇国有资产的管理及其保值增值；负责管理办证中心工作，严格按收费标准和规定收</w:t>
      </w:r>
      <w:r>
        <w:rPr>
          <w:rFonts w:ascii="仿宋_GB2312" w:eastAsia="仿宋_GB2312"/>
          <w:sz w:val="32"/>
          <w:szCs w:val="32"/>
        </w:rPr>
        <w:lastRenderedPageBreak/>
        <w:t>好费，为镇内企业协调好各部门的关系，承办好所有证照，实现一站式服务；负责农村财务管理和农村财务审计监督工作和农村会计人员的管理工作；负责</w:t>
      </w:r>
      <w:r>
        <w:rPr>
          <w:rFonts w:ascii="仿宋_GB2312" w:eastAsia="仿宋_GB2312"/>
          <w:sz w:val="32"/>
          <w:szCs w:val="32"/>
        </w:rPr>
        <w:t>“</w:t>
      </w:r>
      <w:r>
        <w:rPr>
          <w:rFonts w:ascii="仿宋_GB2312" w:eastAsia="仿宋_GB2312"/>
          <w:sz w:val="32"/>
          <w:szCs w:val="32"/>
        </w:rPr>
        <w:t>村帐镇代管</w:t>
      </w:r>
      <w:r>
        <w:rPr>
          <w:rFonts w:ascii="仿宋_GB2312" w:eastAsia="仿宋_GB2312"/>
          <w:sz w:val="32"/>
          <w:szCs w:val="32"/>
        </w:rPr>
        <w:t>”</w:t>
      </w:r>
      <w:r>
        <w:rPr>
          <w:rFonts w:ascii="仿宋_GB2312" w:eastAsia="仿宋_GB2312"/>
          <w:sz w:val="32"/>
          <w:szCs w:val="32"/>
        </w:rPr>
        <w:t>工作；负责农村集体资产管理和农村不良债务清理工作。</w:t>
      </w:r>
    </w:p>
    <w:p w:rsidR="00A90DD5" w:rsidRDefault="00155BB9">
      <w:pPr>
        <w:ind w:firstLine="640"/>
        <w:rPr>
          <w:rFonts w:ascii="仿宋_GB2312" w:eastAsia="仿宋_GB2312"/>
          <w:sz w:val="32"/>
          <w:szCs w:val="32"/>
        </w:rPr>
      </w:pPr>
      <w:r>
        <w:rPr>
          <w:rFonts w:ascii="仿宋_GB2312" w:eastAsia="仿宋_GB2312"/>
          <w:sz w:val="32"/>
          <w:szCs w:val="32"/>
        </w:rPr>
        <w:t>（三）市场监管办公室：负责镇内食品、药品、医疗器械、化妆品监督管理；按照业务权限负责镇内各类企业、农民专业合作社和从事经营活动的单位、个人企业驻辖区代表机构等市场主体的监督管理；负责指导市场监管综合执法工作；负责已发规范和维护各类市场经营秩序，监督管理市场交易行为和网络商铺交易及有关服务行为；负责监督管理流通领域商品质量，组织开展有关服务领域消费维权工作；负责组织指导商标管理工作，依法保护商标专用权和查处商标侵权行为；负责驰名商标、著名商标的培育推荐保护工作；负责特殊标志、官方标志的保护；负责组织指导企业、个人工商户、商品交易市场信用分类管理，研究分析并依法发布市场主体登记注册基础信息等相关信息；负责个体工商户、私营企业经营行为的服务和监督管理；负责镇内产品质量监督工作；负责统一管理镇内计量工作；负责统一监督管理和协调镇内认证认可工作；承担综合管理镇内特种设备安全监察、监督工作的责任，监督检查高耗能特种设备节能标准的执行情况。</w:t>
      </w:r>
    </w:p>
    <w:p w:rsidR="00A90DD5" w:rsidRDefault="00155BB9">
      <w:pPr>
        <w:ind w:firstLine="640"/>
        <w:rPr>
          <w:rFonts w:ascii="仿宋_GB2312" w:eastAsia="仿宋_GB2312"/>
          <w:sz w:val="32"/>
          <w:szCs w:val="32"/>
        </w:rPr>
      </w:pPr>
      <w:r>
        <w:rPr>
          <w:rFonts w:ascii="仿宋_GB2312" w:eastAsia="仿宋_GB2312"/>
          <w:sz w:val="32"/>
          <w:szCs w:val="32"/>
        </w:rPr>
        <w:lastRenderedPageBreak/>
        <w:t>（四）社会发展与劳动保险办公室：负责调查研究投资企业建设和生产中的各种情况和问题，并提供协调、服务；按照国家产业政策、指导产业结构调整，编制镇内对外宣传资料，做好镇内招商引资工作；按权限负责对招商引资项目的立项、可研、合同章程进行服务；落实项目的各项优惠政策，对项目实施跟踪服务；负责家具城管理工作；负责镇内金融、保险服务工作；负责镇内工业及农业统计工作；负责镇内科技发展工作；负责镇内劳动力资源、劳动力市场管理、职业介绍、企业用工管理；负责制定和组织实施镇内人力资源发展规划，组织、协调人才引进和培训工作；负责根据劳动争议处理的政策和措施，协调处理镇内劳动争议仲裁工作，参与调解处理劳动争议案件；负责镇内下岗失业人员、离退休人员管理；负责镇内社会养老、医疗、失业保险的登记工作；对委托实行政府定价或政府指导价的商品价格实行管理；管理国家机关收费、公共事业收费、中介服务收费和重要的经营性收费；负责市场物价变化情况监测；负责重要工业品和农产品成本调查工作；管理镇内价格认证和复合裁定工作；负责学龄儿童及中小学义务教育管理等工作，并接受市教育部门的业务指导。</w:t>
      </w:r>
    </w:p>
    <w:p w:rsidR="00A90DD5" w:rsidRDefault="00155BB9">
      <w:pPr>
        <w:ind w:firstLine="640"/>
        <w:rPr>
          <w:rFonts w:ascii="仿宋_GB2312" w:eastAsia="仿宋_GB2312"/>
          <w:sz w:val="32"/>
          <w:szCs w:val="32"/>
        </w:rPr>
      </w:pPr>
      <w:r>
        <w:rPr>
          <w:rFonts w:ascii="仿宋_GB2312" w:eastAsia="仿宋_GB2312"/>
          <w:sz w:val="32"/>
          <w:szCs w:val="32"/>
        </w:rPr>
        <w:t>（五）卫生健康办公室：负责镇内卫生健康事业发展法律法规草案、政策的贯彻落实，监督实施卫生健康行业技术标准和技</w:t>
      </w:r>
      <w:r>
        <w:rPr>
          <w:rFonts w:ascii="仿宋_GB2312" w:eastAsia="仿宋_GB2312"/>
          <w:sz w:val="32"/>
          <w:szCs w:val="32"/>
        </w:rPr>
        <w:lastRenderedPageBreak/>
        <w:t>术规范；负责镇内疾病预防控制规划、免疫规划、严重危害人民健康的公共卫生问题的干预措施的组织实施；负责镇内医院、卫生院管理工作；负责职责范围内的职业卫生、放射卫生、环境卫生、学校卫生、公共场所卫生、饮用水卫生等公共卫生的监督管理工作，组织开展相关监测、调查、评估和监督；负责传染病防治监督；负责指导卫生方面综合执法工作；负责卫生健康宣传、健康教育、健康促进、交流合作等工作；负责镇内母婴保健工作的监督检查；负责镇内老龄事业管理工作；负责职业安全健康监督管理工作；负责镇内爱国卫生运动工作。</w:t>
      </w:r>
    </w:p>
    <w:p w:rsidR="00A90DD5" w:rsidRDefault="00155BB9">
      <w:pPr>
        <w:ind w:firstLine="640"/>
        <w:rPr>
          <w:rFonts w:ascii="仿宋_GB2312" w:eastAsia="仿宋_GB2312"/>
          <w:sz w:val="32"/>
          <w:szCs w:val="32"/>
        </w:rPr>
      </w:pPr>
      <w:r>
        <w:rPr>
          <w:rFonts w:ascii="仿宋_GB2312" w:eastAsia="仿宋_GB2312"/>
          <w:sz w:val="32"/>
          <w:szCs w:val="32"/>
        </w:rPr>
        <w:t>（六）村镇规划建设管理办公室：负责协调有关部门抓好镇内总体规划的编制、报批、调整和管理工作；负责镇内基础设施的建设、维护及管理；负责镇内道路的养护工作；负责对镇内各类建筑垃圾、生活垃圾及有毒、有害垃圾废弃物进行处理，对镇内的环境卫生公益基础设施建设进行建设、管理；负责对镇内绿地进行系统规划并组织实施；负责对镇内现有公共绿地、道路绿地、防护绿地、生产绿地、以及绿化设施进行管理与维护；负责生态砾石床水污染处理及农村水污染处理站等工作；负责镇区内防汛排涝工作；负责指导村镇建设方面执法工作。</w:t>
      </w:r>
    </w:p>
    <w:p w:rsidR="00A90DD5" w:rsidRDefault="00155BB9">
      <w:pPr>
        <w:ind w:firstLine="640"/>
        <w:rPr>
          <w:rFonts w:ascii="仿宋_GB2312" w:eastAsia="仿宋_GB2312"/>
          <w:sz w:val="32"/>
          <w:szCs w:val="32"/>
        </w:rPr>
      </w:pPr>
      <w:r>
        <w:rPr>
          <w:rFonts w:ascii="仿宋_GB2312" w:eastAsia="仿宋_GB2312"/>
          <w:sz w:val="32"/>
          <w:szCs w:val="32"/>
        </w:rPr>
        <w:t>负责全镇住房计划的编制、指导和考核工作；指导全镇房屋登记工作；负责镇内房屋登记、房产测绘、房产档案资料的管理</w:t>
      </w:r>
      <w:r>
        <w:rPr>
          <w:rFonts w:ascii="仿宋_GB2312" w:eastAsia="仿宋_GB2312"/>
          <w:sz w:val="32"/>
          <w:szCs w:val="32"/>
        </w:rPr>
        <w:lastRenderedPageBreak/>
        <w:t>及落实私房政策工作；负责全镇原有房屋安全管理工作；负责镇内物业管理和业主委员会成立工作；负责镇内道路管理工作。</w:t>
      </w:r>
    </w:p>
    <w:p w:rsidR="00A90DD5" w:rsidRDefault="00155BB9">
      <w:pPr>
        <w:ind w:firstLine="640"/>
        <w:rPr>
          <w:rFonts w:ascii="仿宋_GB2312" w:eastAsia="仿宋_GB2312"/>
          <w:sz w:val="32"/>
          <w:szCs w:val="32"/>
        </w:rPr>
      </w:pPr>
      <w:r>
        <w:rPr>
          <w:rFonts w:ascii="仿宋_GB2312" w:eastAsia="仿宋_GB2312"/>
          <w:sz w:val="32"/>
          <w:szCs w:val="32"/>
        </w:rPr>
        <w:t>（七）安全生产与生态环境办公室：履行镇内安全生产工作综合监督管理职能，贯彻执行安全生产方针政策、法律法规、规范性文件和安全生产责任制，拟定安全生产年度工作计划、目标任务、工作措施和目标考核办法，并负责督促检查落实；承办安全生产工作会议及重要活动，协调并督促落实有关工作，组织对镇内安全生产控制指标落实情况实施考核；指导村（居）委会和同级政府职能部门开展安全生产工作；规范安全监管工作运行程序，实行日常安全监管工作制度化，台账式管理，做好安全生产各项信息资料的记录、分析和归档，并做好相关信息的报告（送）工作；定期分析安全生产形势，提出改进意见和措施，并及时向本级党委、政府及其安委会或上级安委会及安全监管部门报告。</w:t>
      </w:r>
    </w:p>
    <w:p w:rsidR="00A90DD5" w:rsidRDefault="00155BB9">
      <w:pPr>
        <w:ind w:firstLine="640"/>
        <w:rPr>
          <w:rFonts w:ascii="仿宋_GB2312" w:eastAsia="仿宋_GB2312"/>
          <w:sz w:val="32"/>
          <w:szCs w:val="32"/>
        </w:rPr>
      </w:pPr>
      <w:r>
        <w:rPr>
          <w:rFonts w:ascii="仿宋_GB2312" w:eastAsia="仿宋_GB2312"/>
          <w:sz w:val="32"/>
          <w:szCs w:val="32"/>
        </w:rPr>
        <w:t>负责镇内环境保护综合管理工作，负责协调各村街的环境保护工作，负责镇内大气污染防治、土壤污染防治及其他环境污染防治工作；负责镇内环境监测和信息发布；组织、指导和协调环境保护宣传教育，制定并组织实施市环境保护宣传教育纲要，开展生态文明建设和环境友好型社会建设的有关宣传教育，推动社会公众和社会组织参与环境保护。负责指导安监、环保方面执法工作。</w:t>
      </w:r>
    </w:p>
    <w:p w:rsidR="00A90DD5" w:rsidRDefault="00155BB9">
      <w:pPr>
        <w:ind w:firstLine="640"/>
        <w:rPr>
          <w:rFonts w:ascii="仿宋_GB2312" w:eastAsia="仿宋_GB2312"/>
          <w:sz w:val="32"/>
          <w:szCs w:val="32"/>
        </w:rPr>
      </w:pPr>
      <w:r>
        <w:rPr>
          <w:rFonts w:ascii="仿宋_GB2312" w:eastAsia="仿宋_GB2312"/>
          <w:sz w:val="32"/>
          <w:szCs w:val="32"/>
        </w:rPr>
        <w:lastRenderedPageBreak/>
        <w:t>（八）综合执法办公室：负责指导综合执法大队行使各类处罚权；负责行政复议案件、行政诉讼案件、听证案件和向法院申请强制执行案件的答辩、应诉、听证主持和强制执行申请等有关工作；负责行政处罚案件的立案、行政处罚决定等审批工作；负责其他诉讼、应诉案件的有关工作；负责有关综合执法方面法律、法规、规章及规范性文件的宣传贯彻落实工作；负责法制工作课题调研、起草法制工作总结报告和规范性文件；负责对执法工作的细化、制定镇内综合执法业务管理规定；负责综合执法法律、法规的整理汇编工作。</w:t>
      </w:r>
    </w:p>
    <w:p w:rsidR="00A90DD5" w:rsidRDefault="00155BB9">
      <w:pPr>
        <w:ind w:firstLine="640"/>
        <w:rPr>
          <w:rFonts w:ascii="仿宋_GB2312" w:eastAsia="仿宋_GB2312"/>
          <w:sz w:val="32"/>
          <w:szCs w:val="32"/>
        </w:rPr>
      </w:pPr>
      <w:r>
        <w:rPr>
          <w:rFonts w:ascii="仿宋_GB2312" w:eastAsia="仿宋_GB2312"/>
          <w:sz w:val="32"/>
          <w:szCs w:val="32"/>
        </w:rPr>
        <w:t xml:space="preserve">负责贯彻落实国家、省、市有关行政审批制度改革的决定；负责承接市政府授权或相关职能部门下放的行政审批、行政许可、公共服务等事项；负责对行政审批以及相关服务事项的流程进行规范和优化，推进行政审批、政务服务标准化建设；负责行政审批和政务服务平台的建设和管理，会同有关部门加强行政审批、政务服务信息化建设；负责对各窗口以及国家、省、市垂直管理部门进驻工作人员进行日常管理、教育培训和检查考核；负责贯彻落实有关公共资源交易的法律法规和文件规定，对公共资源交易活动实施全过程监督，受理投诉举报，会同有关部门查处违法违纪行为；负责承接上级取消下放的行政许可事项，镇不具备承接条件的由原部门承接。 </w:t>
      </w:r>
    </w:p>
    <w:p w:rsidR="00A90DD5" w:rsidRDefault="00155BB9">
      <w:pPr>
        <w:ind w:firstLine="640"/>
        <w:rPr>
          <w:rFonts w:ascii="仿宋_GB2312" w:eastAsia="仿宋_GB2312"/>
          <w:sz w:val="32"/>
          <w:szCs w:val="32"/>
        </w:rPr>
      </w:pPr>
      <w:r>
        <w:rPr>
          <w:rFonts w:ascii="仿宋_GB2312" w:eastAsia="仿宋_GB2312"/>
          <w:sz w:val="32"/>
          <w:szCs w:val="32"/>
        </w:rPr>
        <w:lastRenderedPageBreak/>
        <w:t>（九）古镇文化旅游管理中心：负责做好古镇社区管理和服务工作；协调有关部门制定组织实施古镇规划建设方案；负责挖掘、传承和弘扬古镇文化；负责组织、辅导群众开展文体活动，普及文化知识，并提供活动场所；负责整理编纂镇志和年鉴等工作。</w:t>
      </w:r>
    </w:p>
    <w:p w:rsidR="00A90DD5" w:rsidRDefault="00155BB9">
      <w:pPr>
        <w:ind w:firstLine="640"/>
        <w:rPr>
          <w:rFonts w:ascii="仿宋_GB2312" w:eastAsia="仿宋_GB2312"/>
          <w:sz w:val="32"/>
          <w:szCs w:val="32"/>
        </w:rPr>
      </w:pPr>
      <w:r>
        <w:rPr>
          <w:rFonts w:ascii="仿宋_GB2312" w:eastAsia="仿宋_GB2312"/>
          <w:sz w:val="32"/>
          <w:szCs w:val="32"/>
        </w:rPr>
        <w:t>（十）退役军人管理服务中心：负责为军队退役人员提供咨询服务，提供法律援助，维护退役军人合法权益；负责整合衔接优抚安置政策与普惠性政策；负责军队退役人员的走访慰问，做好军队退役人员困难情况核实登记工作；协助做好军队退役人员待安置期间党员管理，建立临时党支部，建立党员信息台账；负责建立军队退役人员人才信息库、岗位需求信息库；协助做好符合条件的军队退役人员参加职业教育和技能培训；负责发现、培育退役士兵就业创业典型，通过多种形式进行广泛宣传，营造社会正能量；负责为退役军人帮扶困难，矛盾纠纷排查化解工作，着力解决退役军人生活中的实际问题。</w:t>
      </w:r>
    </w:p>
    <w:p w:rsidR="00A90DD5" w:rsidRDefault="00155BB9">
      <w:pPr>
        <w:ind w:firstLine="640"/>
        <w:rPr>
          <w:rFonts w:ascii="仿宋_GB2312" w:eastAsia="仿宋_GB2312"/>
          <w:sz w:val="32"/>
          <w:szCs w:val="32"/>
        </w:rPr>
      </w:pPr>
      <w:r>
        <w:rPr>
          <w:rFonts w:ascii="仿宋_GB2312" w:eastAsia="仿宋_GB2312"/>
          <w:sz w:val="32"/>
          <w:szCs w:val="32"/>
        </w:rPr>
        <w:t>协助有关部门落实农村基础设施和公共服务设施重大项目建设工作；负责落实财政支农资金计划；负责落实政策性农业保险；配合有关部门制定全镇农业发展规划并组织实施，指导农业产业化结构调整，村级农业和农村经济发展；负责全镇农业科技培训和推广工作；配合有关部门制定农村经济发展规划和工作计</w:t>
      </w:r>
      <w:r>
        <w:rPr>
          <w:rFonts w:ascii="仿宋_GB2312" w:eastAsia="仿宋_GB2312"/>
          <w:sz w:val="32"/>
          <w:szCs w:val="32"/>
        </w:rPr>
        <w:lastRenderedPageBreak/>
        <w:t>划，并组织实施；负责稳定和完善农村土地承包关系；负责农业法律法规政策落实、理论宣传、知识普及工作；负责镇域内防汛抗旱工作；负责落实好居民最低生活保障制度，组织开展城乡社会救济、扶贫济困、救灾等社会救助工作；负责残疾人服务工作；负责做好农村五保供养工作及五保对象的统计调查工作。</w:t>
      </w:r>
    </w:p>
    <w:p w:rsidR="00A90DD5" w:rsidRDefault="00155BB9">
      <w:pPr>
        <w:ind w:firstLine="640"/>
        <w:rPr>
          <w:rFonts w:ascii="仿宋_GB2312" w:eastAsia="仿宋_GB2312"/>
          <w:sz w:val="32"/>
          <w:szCs w:val="32"/>
        </w:rPr>
      </w:pPr>
      <w:r>
        <w:rPr>
          <w:rFonts w:ascii="仿宋_GB2312" w:eastAsia="仿宋_GB2312"/>
          <w:sz w:val="32"/>
          <w:szCs w:val="32"/>
        </w:rPr>
        <w:t>（十一）社区管理与市政公用服务中心：负责镇内的供热、供水、供气工作；负责镇内公共交通管理工作；负责镇内南水北调管理工作；负责协调联系镇内通讯、邮政、供电工作；负责镇内棚户区改造工作和新农村建设相关工作；负责镇内社区组织建设、社区事务管理工作。</w:t>
      </w:r>
    </w:p>
    <w:p w:rsidR="00A90DD5" w:rsidRDefault="00155BB9">
      <w:pPr>
        <w:ind w:firstLine="640"/>
        <w:rPr>
          <w:rFonts w:ascii="仿宋_GB2312" w:eastAsia="仿宋_GB2312"/>
          <w:sz w:val="32"/>
          <w:szCs w:val="32"/>
        </w:rPr>
      </w:pPr>
      <w:r>
        <w:rPr>
          <w:rFonts w:ascii="仿宋_GB2312" w:eastAsia="仿宋_GB2312"/>
          <w:sz w:val="32"/>
          <w:szCs w:val="32"/>
        </w:rPr>
        <w:t>（十二）群众工作中心：负责镇域内的矛盾纠纷排查、化解，维护社会稳定和社会治安管理、扫黑除恶工作；负责镇域内的平安创建工作；负责本辖域内信访信息统计和上报工作；负责配合相关部门搞好本辖域内的反邪教、禁毒等工作；负责受理来信、来访工作；负责转办、交办的信访事项；负责参与调查、协调处理有关信访事项；负责为信访人提供有关法律、政策咨询；承办上级交办的信访件，对重要信访件进行了解核实或初查。</w:t>
      </w:r>
    </w:p>
    <w:p w:rsidR="00A90DD5" w:rsidRDefault="00155BB9">
      <w:pPr>
        <w:ind w:firstLine="640"/>
        <w:rPr>
          <w:rFonts w:ascii="仿宋_GB2312" w:eastAsia="仿宋_GB2312"/>
          <w:sz w:val="32"/>
          <w:szCs w:val="32"/>
        </w:rPr>
      </w:pPr>
      <w:r>
        <w:rPr>
          <w:rFonts w:ascii="仿宋_GB2312" w:eastAsia="仿宋_GB2312"/>
          <w:sz w:val="32"/>
          <w:szCs w:val="32"/>
        </w:rPr>
        <w:t>（十三）政务服务中心：协调相关部门行政审批、行政许可、公共服务等事项进驻政务服务中心大厅；制定各项政务服务制度</w:t>
      </w:r>
      <w:r>
        <w:rPr>
          <w:rFonts w:ascii="仿宋_GB2312" w:eastAsia="仿宋_GB2312"/>
          <w:sz w:val="32"/>
          <w:szCs w:val="32"/>
        </w:rPr>
        <w:lastRenderedPageBreak/>
        <w:t>和管理办法，对进驻窗口及其工作人员进行日常管理；牵头组织协调有关部门对相关事项的联审会办；负责政务服务网络日常维护工作；负责村公章代管工作。</w:t>
      </w:r>
    </w:p>
    <w:p w:rsidR="00A90DD5" w:rsidRDefault="00155BB9">
      <w:pPr>
        <w:ind w:firstLine="640"/>
        <w:rPr>
          <w:rFonts w:ascii="仿宋_GB2312" w:eastAsia="仿宋_GB2312"/>
          <w:sz w:val="32"/>
          <w:szCs w:val="32"/>
        </w:rPr>
      </w:pPr>
      <w:r>
        <w:rPr>
          <w:rFonts w:ascii="仿宋_GB2312" w:eastAsia="仿宋_GB2312"/>
          <w:sz w:val="32"/>
          <w:szCs w:val="32"/>
        </w:rPr>
        <w:t>（十四）社会治理服务管理综合指挥中心：负责行使城乡规划建设、市容市貌环境卫生、市政设施、市场监督管理、环境保护、交通运输管理等方面的监督管理和行政处罚权。</w:t>
      </w:r>
    </w:p>
    <w:p w:rsidR="00A90DD5" w:rsidRDefault="00155BB9">
      <w:pPr>
        <w:ind w:firstLine="640"/>
        <w:rPr>
          <w:rFonts w:ascii="仿宋_GB2312" w:eastAsia="仿宋_GB2312"/>
          <w:sz w:val="32"/>
          <w:szCs w:val="32"/>
        </w:rPr>
      </w:pPr>
      <w:r>
        <w:rPr>
          <w:rFonts w:ascii="仿宋_GB2312" w:eastAsia="仿宋_GB2312"/>
          <w:sz w:val="32"/>
          <w:szCs w:val="32"/>
        </w:rPr>
        <w:t>负责对本辖区职责范围内的政务服务中心、综合执法队伍及各职能机构之间实现审批、监管、执法信息互联互通、统一调度；负责审查受理、分流指派、核查结案；负责信息的统一归口收集和分析研判；负责联动机制运作情况的考核；负责网络管理员的管理、督查、考核；负责镇内应急管理工作。</w:t>
      </w:r>
    </w:p>
    <w:p w:rsidR="00A90DD5" w:rsidRDefault="00155BB9">
      <w:pPr>
        <w:ind w:firstLine="640"/>
        <w:rPr>
          <w:rFonts w:ascii="仿宋_GB2312" w:eastAsia="仿宋_GB2312"/>
          <w:sz w:val="32"/>
          <w:szCs w:val="32"/>
        </w:rPr>
      </w:pPr>
      <w:r>
        <w:rPr>
          <w:rFonts w:ascii="仿宋_GB2312" w:eastAsia="仿宋_GB2312"/>
          <w:sz w:val="32"/>
          <w:szCs w:val="32"/>
        </w:rPr>
        <w:t>（十五）纪检监察机构：胜芳镇纪委全面履行党章赋予的职责。围绕镇中心工作，开展党风廉政建设宣传教育；对所辖各级党组织和党员干部行使权利，履行职责和廉洁自律情况进行监督；受理处置党员群众检举举报、上级纪检机关交办和巡视巡查移交的信访举报、问题线索，调查处理所辖党组织和党员违纪案件；进行问责或提出责任追究的建议，受理党员的控告和申诉，保障党员权利；领导村级纪检组织发挥监督作用；完成霸州市纪委及上级纪委交办的其他任务。</w:t>
      </w:r>
    </w:p>
    <w:p w:rsidR="00A90DD5" w:rsidRDefault="00155BB9">
      <w:pPr>
        <w:ind w:firstLine="640"/>
        <w:rPr>
          <w:rFonts w:ascii="仿宋_GB2312" w:eastAsia="仿宋_GB2312"/>
          <w:sz w:val="32"/>
          <w:szCs w:val="32"/>
        </w:rPr>
      </w:pPr>
      <w:r>
        <w:rPr>
          <w:rFonts w:ascii="仿宋_GB2312" w:eastAsia="仿宋_GB2312"/>
          <w:sz w:val="32"/>
          <w:szCs w:val="32"/>
        </w:rPr>
        <w:lastRenderedPageBreak/>
        <w:t>监察办主要履行以下职责：依法对镇管辖范围内行使公权力的公职人员进行廉政教育，对其依法履职、秉公用权、廉洁从政从业以及道德操守情况进行监督检查；向监察对象所在单位提出监察建议；协助霸州市监委开展调查工作；采取谈话、询问等方式对职务违法行为进行调查；完成霸州市监委及上级监委交办的其他任务。监察办不得使用留置措施，其他具体监察权限依据霸州市监委授权。</w:t>
      </w:r>
    </w:p>
    <w:p w:rsidR="00A90DD5" w:rsidRDefault="00155BB9">
      <w:pPr>
        <w:pStyle w:val="1"/>
        <w:spacing w:before="0" w:after="0" w:line="600" w:lineRule="exact"/>
        <w:ind w:firstLineChars="200" w:firstLine="640"/>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A90DD5" w:rsidRDefault="00155BB9">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从决算编报单位构成看，纳入2019年度本部门决算汇编范围的独立核算单位（以下简称“单位”）共</w:t>
      </w:r>
      <w:r>
        <w:rPr>
          <w:rFonts w:ascii="仿宋_GB2312" w:eastAsia="仿宋_GB2312" w:hAnsiTheme="minorHAnsi" w:cs="ArialUnicodeMS"/>
          <w:kern w:val="0"/>
          <w:sz w:val="32"/>
          <w:szCs w:val="32"/>
        </w:rPr>
        <w:t>1</w:t>
      </w:r>
      <w:r>
        <w:rPr>
          <w:rFonts w:ascii="仿宋_GB2312" w:eastAsia="仿宋_GB2312" w:hAnsiTheme="minorHAnsi" w:cs="ArialUnicodeMS" w:hint="eastAsia"/>
          <w:kern w:val="0"/>
          <w:sz w:val="32"/>
          <w:szCs w:val="32"/>
        </w:rPr>
        <w:t>个，具体情况如下：</w:t>
      </w:r>
    </w:p>
    <w:tbl>
      <w:tblPr>
        <w:tblStyle w:val="af1"/>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485"/>
        <w:gridCol w:w="2445"/>
        <w:gridCol w:w="2665"/>
      </w:tblGrid>
      <w:tr w:rsidR="00A90DD5">
        <w:trPr>
          <w:trHeight w:val="811"/>
          <w:jc w:val="center"/>
        </w:trPr>
        <w:tc>
          <w:tcPr>
            <w:tcW w:w="985" w:type="dxa"/>
            <w:vAlign w:val="center"/>
          </w:tcPr>
          <w:p w:rsidR="00A90DD5" w:rsidRDefault="00155BB9">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485" w:type="dxa"/>
            <w:vAlign w:val="center"/>
          </w:tcPr>
          <w:p w:rsidR="00A90DD5" w:rsidRDefault="00155BB9">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rsidR="00A90DD5" w:rsidRDefault="00155BB9">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rsidR="00A90DD5" w:rsidRDefault="00155BB9">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A90DD5">
        <w:trPr>
          <w:trHeight w:val="596"/>
          <w:jc w:val="center"/>
        </w:trPr>
        <w:tc>
          <w:tcPr>
            <w:tcW w:w="985" w:type="dxa"/>
          </w:tcPr>
          <w:p w:rsidR="00A90DD5" w:rsidRDefault="00155BB9">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485" w:type="dxa"/>
          </w:tcPr>
          <w:p w:rsidR="00A90DD5" w:rsidRDefault="00155BB9">
            <w:pPr>
              <w:spacing w:after="0"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霸州市胜芳镇人民政府</w:t>
            </w:r>
          </w:p>
        </w:tc>
        <w:tc>
          <w:tcPr>
            <w:tcW w:w="2445" w:type="dxa"/>
          </w:tcPr>
          <w:p w:rsidR="00A90DD5" w:rsidRDefault="00155BB9">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行政单位</w:t>
            </w:r>
          </w:p>
        </w:tc>
        <w:tc>
          <w:tcPr>
            <w:tcW w:w="2665" w:type="dxa"/>
          </w:tcPr>
          <w:p w:rsidR="00A90DD5" w:rsidRDefault="00155BB9">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财政拨款</w:t>
            </w:r>
          </w:p>
        </w:tc>
      </w:tr>
      <w:tr w:rsidR="00A90DD5">
        <w:trPr>
          <w:trHeight w:val="606"/>
          <w:jc w:val="center"/>
        </w:trPr>
        <w:tc>
          <w:tcPr>
            <w:tcW w:w="9580" w:type="dxa"/>
            <w:gridSpan w:val="4"/>
            <w:tcBorders>
              <w:top w:val="single" w:sz="4" w:space="0" w:color="auto"/>
              <w:left w:val="nil"/>
              <w:bottom w:val="nil"/>
              <w:right w:val="nil"/>
            </w:tcBorders>
          </w:tcPr>
          <w:p w:rsidR="00A90DD5" w:rsidRDefault="00A90DD5">
            <w:pPr>
              <w:spacing w:after="0" w:line="560" w:lineRule="exact"/>
              <w:jc w:val="left"/>
              <w:rPr>
                <w:rFonts w:ascii="仿宋_GB2312" w:eastAsia="仿宋_GB2312" w:hAnsiTheme="minorHAnsi" w:cs="ArialUnicodeMS"/>
                <w:kern w:val="0"/>
                <w:sz w:val="28"/>
                <w:szCs w:val="28"/>
              </w:rPr>
            </w:pPr>
          </w:p>
        </w:tc>
      </w:tr>
    </w:tbl>
    <w:p w:rsidR="00A90DD5" w:rsidRDefault="00A90DD5">
      <w:pPr>
        <w:widowControl/>
        <w:spacing w:line="560" w:lineRule="exact"/>
        <w:rPr>
          <w:rFonts w:ascii="黑体" w:eastAsia="黑体" w:hAnsiTheme="minorHAnsi" w:cs="MS-UIGothic,Bold"/>
          <w:bCs/>
          <w:kern w:val="0"/>
          <w:sz w:val="52"/>
          <w:szCs w:val="52"/>
        </w:rPr>
      </w:pPr>
    </w:p>
    <w:p w:rsidR="00A90DD5" w:rsidRDefault="00A90DD5">
      <w:pPr>
        <w:widowControl/>
        <w:spacing w:line="560" w:lineRule="exact"/>
        <w:jc w:val="center"/>
        <w:rPr>
          <w:rFonts w:ascii="黑体" w:eastAsia="黑体" w:hAnsiTheme="minorHAnsi" w:cs="MS-UIGothic,Bold"/>
          <w:bCs/>
          <w:kern w:val="0"/>
          <w:sz w:val="52"/>
          <w:szCs w:val="52"/>
        </w:rPr>
        <w:sectPr w:rsidR="00A90DD5">
          <w:pgSz w:w="11906" w:h="16838"/>
          <w:pgMar w:top="2098" w:right="1474" w:bottom="1984" w:left="1588" w:header="851" w:footer="992" w:gutter="0"/>
          <w:cols w:space="0"/>
          <w:docGrid w:type="lines" w:linePitch="312"/>
        </w:sectPr>
      </w:pPr>
    </w:p>
    <w:p w:rsidR="00A90DD5" w:rsidRDefault="00A90DD5">
      <w:pPr>
        <w:widowControl/>
        <w:spacing w:line="1200" w:lineRule="exact"/>
        <w:jc w:val="center"/>
        <w:rPr>
          <w:rFonts w:asciiTheme="minorEastAsia" w:eastAsiaTheme="minorEastAsia" w:hAnsi="宋体"/>
          <w:color w:val="000000" w:themeColor="text1"/>
          <w:sz w:val="96"/>
          <w:szCs w:val="96"/>
        </w:rPr>
      </w:pPr>
    </w:p>
    <w:p w:rsidR="00A90DD5" w:rsidRDefault="00A90DD5">
      <w:pPr>
        <w:widowControl/>
        <w:spacing w:line="1200" w:lineRule="exact"/>
        <w:jc w:val="center"/>
        <w:rPr>
          <w:rFonts w:asciiTheme="minorEastAsia" w:eastAsiaTheme="minorEastAsia" w:hAnsi="宋体"/>
          <w:color w:val="000000" w:themeColor="text1"/>
          <w:sz w:val="96"/>
          <w:szCs w:val="96"/>
        </w:rPr>
      </w:pPr>
    </w:p>
    <w:p w:rsidR="00A90DD5" w:rsidRDefault="00A90DD5">
      <w:pPr>
        <w:widowControl/>
        <w:spacing w:line="1200" w:lineRule="exact"/>
        <w:jc w:val="center"/>
        <w:rPr>
          <w:rFonts w:asciiTheme="minorEastAsia" w:eastAsiaTheme="minorEastAsia" w:hAnsi="宋体"/>
          <w:color w:val="000000" w:themeColor="text1"/>
          <w:sz w:val="96"/>
          <w:szCs w:val="96"/>
        </w:rPr>
      </w:pPr>
    </w:p>
    <w:p w:rsidR="00A90DD5" w:rsidRDefault="00155BB9">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第二部分</w:t>
      </w:r>
    </w:p>
    <w:p w:rsidR="00A90DD5" w:rsidRDefault="00155BB9">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2019年部门决算</w:t>
      </w:r>
    </w:p>
    <w:p w:rsidR="00A90DD5" w:rsidRDefault="00155BB9">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情况说明</w:t>
      </w:r>
    </w:p>
    <w:p w:rsidR="00A90DD5" w:rsidRDefault="00A90DD5">
      <w:pPr>
        <w:rPr>
          <w:rFonts w:ascii="宋体" w:hAnsi="宋体" w:cs="ArialUnicodeMS"/>
          <w:color w:val="000000"/>
          <w:kern w:val="0"/>
        </w:rPr>
        <w:sectPr w:rsidR="00A90DD5">
          <w:pgSz w:w="11906" w:h="16838"/>
          <w:pgMar w:top="2098" w:right="1474" w:bottom="1984" w:left="1588" w:header="851" w:footer="992" w:gutter="0"/>
          <w:cols w:space="0"/>
          <w:docGrid w:type="lines" w:linePitch="312"/>
        </w:sectPr>
      </w:pPr>
    </w:p>
    <w:p w:rsidR="00A90DD5" w:rsidRDefault="00155BB9">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A90DD5" w:rsidRDefault="00155BB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本部门2019年度收支总计（含结转和结余）</w:t>
      </w:r>
      <w:r>
        <w:rPr>
          <w:rFonts w:ascii="仿宋_GB2312" w:eastAsia="仿宋_GB2312" w:cs="DengXian-Regular"/>
          <w:sz w:val="32"/>
          <w:szCs w:val="32"/>
        </w:rPr>
        <w:t>32382.49</w:t>
      </w:r>
      <w:r>
        <w:rPr>
          <w:rFonts w:ascii="仿宋_GB2312" w:eastAsia="仿宋_GB2312" w:cs="DengXian-Regular" w:hint="eastAsia"/>
          <w:sz w:val="32"/>
          <w:szCs w:val="32"/>
        </w:rPr>
        <w:t>万元。与2018年度决算相比，收支各增加1</w:t>
      </w:r>
      <w:r>
        <w:rPr>
          <w:rFonts w:ascii="仿宋_GB2312" w:eastAsia="仿宋_GB2312" w:cs="DengXian-Regular"/>
          <w:sz w:val="32"/>
          <w:szCs w:val="32"/>
        </w:rPr>
        <w:t>9578.72</w:t>
      </w:r>
      <w:r>
        <w:rPr>
          <w:rFonts w:ascii="仿宋_GB2312" w:eastAsia="仿宋_GB2312" w:cs="DengXian-Regular" w:hint="eastAsia"/>
          <w:sz w:val="32"/>
          <w:szCs w:val="32"/>
        </w:rPr>
        <w:t>万元，增长1</w:t>
      </w:r>
      <w:r>
        <w:rPr>
          <w:rFonts w:ascii="仿宋_GB2312" w:eastAsia="仿宋_GB2312" w:cs="DengXian-Regular"/>
          <w:sz w:val="32"/>
          <w:szCs w:val="32"/>
        </w:rPr>
        <w:t>52.91</w:t>
      </w:r>
      <w:r>
        <w:rPr>
          <w:rFonts w:ascii="仿宋_GB2312" w:eastAsia="仿宋_GB2312" w:cs="DengXian-Regular" w:hint="eastAsia"/>
          <w:sz w:val="32"/>
          <w:szCs w:val="32"/>
        </w:rPr>
        <w:t>%，主要是</w:t>
      </w:r>
      <w:r>
        <w:rPr>
          <w:rFonts w:ascii="仿宋_GB2312" w:eastAsia="仿宋_GB2312" w:cs="DengXian-Regular"/>
          <w:sz w:val="32"/>
          <w:szCs w:val="32"/>
        </w:rPr>
        <w:t>2019</w:t>
      </w:r>
      <w:r>
        <w:rPr>
          <w:rFonts w:ascii="仿宋_GB2312" w:eastAsia="仿宋_GB2312" w:cs="DengXian-Regular" w:hint="eastAsia"/>
          <w:sz w:val="32"/>
          <w:szCs w:val="32"/>
        </w:rPr>
        <w:t>年我镇实行了机构改革，胜芳建设局并入我镇，主要增加了城乡社区事务方面的收支。</w:t>
      </w:r>
    </w:p>
    <w:p w:rsidR="00A90DD5" w:rsidRDefault="00155BB9">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A90DD5" w:rsidRDefault="00155BB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本部门2019年度本年收入合计</w:t>
      </w:r>
      <w:r>
        <w:rPr>
          <w:rFonts w:ascii="仿宋_GB2312" w:eastAsia="仿宋_GB2312" w:cs="DengXian-Regular"/>
          <w:sz w:val="32"/>
          <w:szCs w:val="32"/>
        </w:rPr>
        <w:t>30445.68</w:t>
      </w:r>
      <w:r>
        <w:rPr>
          <w:rFonts w:ascii="仿宋_GB2312" w:eastAsia="仿宋_GB2312" w:cs="DengXian-Regular" w:hint="eastAsia"/>
          <w:sz w:val="32"/>
          <w:szCs w:val="32"/>
        </w:rPr>
        <w:t>万元，其中：财政拨款收入</w:t>
      </w:r>
      <w:r>
        <w:rPr>
          <w:rFonts w:ascii="仿宋_GB2312" w:eastAsia="仿宋_GB2312" w:cs="DengXian-Regular"/>
          <w:sz w:val="32"/>
          <w:szCs w:val="32"/>
        </w:rPr>
        <w:t>30445.68</w:t>
      </w:r>
      <w:r>
        <w:rPr>
          <w:rFonts w:ascii="仿宋_GB2312" w:eastAsia="仿宋_GB2312" w:cs="DengXian-Regular" w:hint="eastAsia"/>
          <w:sz w:val="32"/>
          <w:szCs w:val="32"/>
        </w:rPr>
        <w:t>万元，占</w:t>
      </w:r>
      <w:r>
        <w:rPr>
          <w:rFonts w:ascii="仿宋_GB2312" w:eastAsia="仿宋_GB2312" w:cs="DengXian-Regular"/>
          <w:sz w:val="32"/>
          <w:szCs w:val="32"/>
        </w:rPr>
        <w:t>100</w:t>
      </w:r>
      <w:r>
        <w:rPr>
          <w:rFonts w:ascii="仿宋_GB2312" w:eastAsia="仿宋_GB2312" w:cs="DengXian-Regular" w:hint="eastAsia"/>
          <w:sz w:val="32"/>
          <w:szCs w:val="32"/>
        </w:rPr>
        <w:t>%；事业收入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%；经营收入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%；其他收入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%。如表所示：</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2267"/>
        <w:gridCol w:w="1731"/>
        <w:gridCol w:w="1560"/>
        <w:gridCol w:w="1560"/>
        <w:gridCol w:w="1756"/>
      </w:tblGrid>
      <w:tr w:rsidR="00A90DD5">
        <w:trPr>
          <w:trHeight w:val="286"/>
        </w:trPr>
        <w:tc>
          <w:tcPr>
            <w:tcW w:w="8874" w:type="dxa"/>
            <w:gridSpan w:val="5"/>
            <w:shd w:val="clear" w:color="auto" w:fill="auto"/>
            <w:vAlign w:val="center"/>
          </w:tcPr>
          <w:p w:rsidR="00A90DD5" w:rsidRDefault="00155BB9">
            <w:pPr>
              <w:widowControl/>
              <w:jc w:val="center"/>
              <w:textAlignment w:val="center"/>
              <w:rPr>
                <w:rFonts w:ascii="宋体" w:hAnsi="宋体" w:cs="宋体"/>
                <w:color w:val="000000"/>
                <w:sz w:val="24"/>
              </w:rPr>
            </w:pPr>
            <w:r>
              <w:rPr>
                <w:rFonts w:ascii="宋体" w:hAnsi="宋体" w:cs="宋体" w:hint="eastAsia"/>
                <w:color w:val="000000"/>
                <w:kern w:val="0"/>
                <w:sz w:val="24"/>
              </w:rPr>
              <w:t>表1：收入决算结构</w:t>
            </w:r>
          </w:p>
        </w:tc>
      </w:tr>
      <w:tr w:rsidR="00A90DD5">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其他收入</w:t>
            </w:r>
          </w:p>
        </w:tc>
      </w:tr>
      <w:tr w:rsidR="00A90DD5">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3</w:t>
            </w:r>
            <w:r>
              <w:rPr>
                <w:rFonts w:ascii="宋体" w:hAnsi="宋体" w:cs="宋体"/>
                <w:color w:val="000000"/>
                <w:sz w:val="24"/>
              </w:rPr>
              <w:t>0445.68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0</w:t>
            </w:r>
          </w:p>
        </w:tc>
      </w:tr>
      <w:tr w:rsidR="00A90DD5">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0</w:t>
            </w:r>
          </w:p>
        </w:tc>
      </w:tr>
    </w:tbl>
    <w:p w:rsidR="00A90DD5" w:rsidRDefault="00A90DD5"/>
    <w:p w:rsidR="00A90DD5" w:rsidRDefault="00155BB9">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A90DD5" w:rsidRDefault="00155BB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本部门2019年度本年支出合计</w:t>
      </w:r>
      <w:r>
        <w:rPr>
          <w:rFonts w:ascii="仿宋_GB2312" w:eastAsia="仿宋_GB2312" w:cs="DengXian-Regular"/>
          <w:sz w:val="32"/>
          <w:szCs w:val="32"/>
        </w:rPr>
        <w:t>32052.26</w:t>
      </w:r>
      <w:r>
        <w:rPr>
          <w:rFonts w:ascii="仿宋_GB2312" w:eastAsia="仿宋_GB2312" w:cs="DengXian-Regular" w:hint="eastAsia"/>
          <w:sz w:val="32"/>
          <w:szCs w:val="32"/>
        </w:rPr>
        <w:t>万元，其中：基本支出</w:t>
      </w:r>
      <w:r>
        <w:rPr>
          <w:rFonts w:ascii="仿宋_GB2312" w:eastAsia="仿宋_GB2312" w:cs="DengXian-Regular"/>
          <w:sz w:val="32"/>
          <w:szCs w:val="32"/>
        </w:rPr>
        <w:t>5051.13</w:t>
      </w:r>
      <w:r>
        <w:rPr>
          <w:rFonts w:ascii="仿宋_GB2312" w:eastAsia="仿宋_GB2312" w:cs="DengXian-Regular" w:hint="eastAsia"/>
          <w:sz w:val="32"/>
          <w:szCs w:val="32"/>
        </w:rPr>
        <w:t>万元，占</w:t>
      </w:r>
      <w:r>
        <w:rPr>
          <w:rFonts w:ascii="仿宋_GB2312" w:eastAsia="仿宋_GB2312" w:cs="DengXian-Regular"/>
          <w:sz w:val="32"/>
          <w:szCs w:val="32"/>
        </w:rPr>
        <w:t>15.76</w:t>
      </w:r>
      <w:r>
        <w:rPr>
          <w:rFonts w:ascii="仿宋_GB2312" w:eastAsia="仿宋_GB2312" w:cs="DengXian-Regular" w:hint="eastAsia"/>
          <w:sz w:val="32"/>
          <w:szCs w:val="32"/>
        </w:rPr>
        <w:t>%；项目支出</w:t>
      </w:r>
      <w:r>
        <w:rPr>
          <w:rFonts w:ascii="仿宋_GB2312" w:eastAsia="仿宋_GB2312" w:cs="DengXian-Regular"/>
          <w:sz w:val="32"/>
          <w:szCs w:val="32"/>
        </w:rPr>
        <w:t>27001.13</w:t>
      </w:r>
      <w:r>
        <w:rPr>
          <w:rFonts w:ascii="仿宋_GB2312" w:eastAsia="仿宋_GB2312" w:cs="DengXian-Regular" w:hint="eastAsia"/>
          <w:sz w:val="32"/>
          <w:szCs w:val="32"/>
        </w:rPr>
        <w:t>万元，占</w:t>
      </w:r>
      <w:r>
        <w:rPr>
          <w:rFonts w:ascii="仿宋_GB2312" w:eastAsia="仿宋_GB2312" w:cs="DengXian-Regular"/>
          <w:sz w:val="32"/>
          <w:szCs w:val="32"/>
        </w:rPr>
        <w:t>84.24</w:t>
      </w:r>
      <w:r>
        <w:rPr>
          <w:rFonts w:ascii="仿宋_GB2312" w:eastAsia="仿宋_GB2312" w:cs="DengXian-Regular" w:hint="eastAsia"/>
          <w:sz w:val="32"/>
          <w:szCs w:val="32"/>
        </w:rPr>
        <w:t>%；经营支出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%。如表所示：</w:t>
      </w:r>
    </w:p>
    <w:p w:rsidR="00A90DD5" w:rsidRDefault="00A90DD5">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2493"/>
        <w:gridCol w:w="2300"/>
        <w:gridCol w:w="2070"/>
        <w:gridCol w:w="2011"/>
      </w:tblGrid>
      <w:tr w:rsidR="00A90DD5">
        <w:trPr>
          <w:trHeight w:val="286"/>
        </w:trPr>
        <w:tc>
          <w:tcPr>
            <w:tcW w:w="8874" w:type="dxa"/>
            <w:gridSpan w:val="4"/>
            <w:shd w:val="clear" w:color="auto" w:fill="auto"/>
            <w:vAlign w:val="center"/>
          </w:tcPr>
          <w:p w:rsidR="00A90DD5" w:rsidRDefault="00155BB9">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表2：支出决算结构</w:t>
            </w:r>
          </w:p>
        </w:tc>
      </w:tr>
      <w:tr w:rsidR="00A90DD5">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经营支出</w:t>
            </w:r>
          </w:p>
        </w:tc>
      </w:tr>
      <w:tr w:rsidR="00A90DD5">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051.13</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7001.13</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0</w:t>
            </w:r>
          </w:p>
        </w:tc>
      </w:tr>
      <w:tr w:rsidR="00A90DD5">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5.76</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8</w:t>
            </w:r>
            <w:r>
              <w:rPr>
                <w:rFonts w:ascii="宋体" w:hAnsi="宋体" w:cs="宋体"/>
                <w:color w:val="000000"/>
                <w:sz w:val="24"/>
              </w:rPr>
              <w:t>4.24</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0</w:t>
            </w:r>
          </w:p>
        </w:tc>
      </w:tr>
    </w:tbl>
    <w:p w:rsidR="00A90DD5" w:rsidRDefault="00A90DD5">
      <w:pPr>
        <w:adjustRightInd w:val="0"/>
        <w:snapToGrid w:val="0"/>
        <w:spacing w:after="0" w:line="580" w:lineRule="exact"/>
        <w:ind w:firstLineChars="200" w:firstLine="640"/>
        <w:rPr>
          <w:rFonts w:ascii="仿宋_GB2312" w:eastAsia="仿宋_GB2312" w:cs="DengXian-Regular"/>
          <w:sz w:val="32"/>
          <w:szCs w:val="32"/>
        </w:rPr>
      </w:pPr>
    </w:p>
    <w:p w:rsidR="00A90DD5" w:rsidRDefault="00155BB9">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拨款收入支出决算总体情况说明</w:t>
      </w:r>
    </w:p>
    <w:p w:rsidR="00A90DD5" w:rsidRDefault="00155BB9">
      <w:pPr>
        <w:spacing w:after="0" w:line="580" w:lineRule="exact"/>
        <w:ind w:firstLineChars="200" w:firstLine="641"/>
        <w:rPr>
          <w:rFonts w:ascii="楷体_GB2312" w:eastAsia="楷体_GB2312" w:cs="DengXian-Bold"/>
          <w:b/>
          <w:bCs/>
          <w:sz w:val="32"/>
          <w:szCs w:val="32"/>
        </w:rPr>
      </w:pPr>
      <w:r>
        <w:rPr>
          <w:rFonts w:ascii="楷体_GB2312" w:eastAsia="楷体_GB2312" w:cs="DengXian-Bold" w:hint="eastAsia"/>
          <w:b/>
          <w:bCs/>
          <w:sz w:val="32"/>
          <w:szCs w:val="32"/>
        </w:rPr>
        <w:t>（一）财政拨款收支与2018年度决算对比情况</w:t>
      </w:r>
    </w:p>
    <w:p w:rsidR="00A90DD5" w:rsidRDefault="00155BB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本部门2019年度财政拨款本年收入</w:t>
      </w:r>
      <w:r>
        <w:rPr>
          <w:rFonts w:ascii="仿宋_GB2312" w:eastAsia="仿宋_GB2312" w:cs="DengXian-Regular"/>
          <w:sz w:val="32"/>
          <w:szCs w:val="32"/>
        </w:rPr>
        <w:t>30445.68</w:t>
      </w:r>
      <w:r>
        <w:rPr>
          <w:rFonts w:ascii="仿宋_GB2312" w:eastAsia="仿宋_GB2312" w:cs="DengXian-Regular" w:hint="eastAsia"/>
          <w:sz w:val="32"/>
          <w:szCs w:val="32"/>
        </w:rPr>
        <w:t>万元,比2018年度增加1</w:t>
      </w:r>
      <w:r>
        <w:rPr>
          <w:rFonts w:ascii="仿宋_GB2312" w:eastAsia="仿宋_GB2312" w:cs="DengXian-Regular"/>
          <w:sz w:val="32"/>
          <w:szCs w:val="32"/>
        </w:rPr>
        <w:t>8288.9</w:t>
      </w:r>
      <w:r>
        <w:rPr>
          <w:rFonts w:ascii="仿宋_GB2312" w:eastAsia="仿宋_GB2312" w:cs="DengXian-Regular" w:hint="eastAsia"/>
          <w:sz w:val="32"/>
          <w:szCs w:val="32"/>
        </w:rPr>
        <w:t>万元，增长1</w:t>
      </w:r>
      <w:r>
        <w:rPr>
          <w:rFonts w:ascii="仿宋_GB2312" w:eastAsia="仿宋_GB2312" w:cs="DengXian-Regular"/>
          <w:sz w:val="32"/>
          <w:szCs w:val="32"/>
        </w:rPr>
        <w:t>50.44</w:t>
      </w:r>
      <w:r>
        <w:rPr>
          <w:rFonts w:ascii="仿宋_GB2312" w:eastAsia="仿宋_GB2312" w:cs="DengXian-Regular" w:hint="eastAsia"/>
          <w:sz w:val="32"/>
          <w:szCs w:val="32"/>
        </w:rPr>
        <w:t>%，主要是</w:t>
      </w:r>
      <w:r>
        <w:rPr>
          <w:rFonts w:ascii="仿宋_GB2312" w:eastAsia="仿宋_GB2312" w:cs="DengXian-Regular"/>
          <w:sz w:val="32"/>
          <w:szCs w:val="32"/>
        </w:rPr>
        <w:t>2019</w:t>
      </w:r>
      <w:r>
        <w:rPr>
          <w:rFonts w:ascii="仿宋_GB2312" w:eastAsia="仿宋_GB2312" w:cs="DengXian-Regular" w:hint="eastAsia"/>
          <w:sz w:val="32"/>
          <w:szCs w:val="32"/>
        </w:rPr>
        <w:t>年我镇实行了机构改革，胜芳建设局并入我镇，主要增加了城乡社区事务方面的收入；本年支出</w:t>
      </w:r>
      <w:r>
        <w:rPr>
          <w:rFonts w:ascii="仿宋_GB2312" w:eastAsia="仿宋_GB2312" w:cs="DengXian-Regular"/>
          <w:sz w:val="32"/>
          <w:szCs w:val="32"/>
        </w:rPr>
        <w:t>32052.26</w:t>
      </w:r>
      <w:r>
        <w:rPr>
          <w:rFonts w:ascii="仿宋_GB2312" w:eastAsia="仿宋_GB2312" w:cs="DengXian-Regular" w:hint="eastAsia"/>
          <w:sz w:val="32"/>
          <w:szCs w:val="32"/>
        </w:rPr>
        <w:t>万元，增加1</w:t>
      </w:r>
      <w:r>
        <w:rPr>
          <w:rFonts w:ascii="仿宋_GB2312" w:eastAsia="仿宋_GB2312" w:cs="DengXian-Regular"/>
          <w:sz w:val="32"/>
          <w:szCs w:val="32"/>
        </w:rPr>
        <w:t>9483.6</w:t>
      </w:r>
      <w:r>
        <w:rPr>
          <w:rFonts w:ascii="仿宋_GB2312" w:eastAsia="仿宋_GB2312" w:cs="DengXian-Regular" w:hint="eastAsia"/>
          <w:sz w:val="32"/>
          <w:szCs w:val="32"/>
        </w:rPr>
        <w:t>万元，增长1</w:t>
      </w:r>
      <w:r>
        <w:rPr>
          <w:rFonts w:ascii="仿宋_GB2312" w:eastAsia="仿宋_GB2312" w:cs="DengXian-Regular"/>
          <w:sz w:val="32"/>
          <w:szCs w:val="32"/>
        </w:rPr>
        <w:t>55.02</w:t>
      </w:r>
      <w:r>
        <w:rPr>
          <w:rFonts w:ascii="仿宋_GB2312" w:eastAsia="仿宋_GB2312" w:cs="DengXian-Regular" w:hint="eastAsia"/>
          <w:sz w:val="32"/>
          <w:szCs w:val="32"/>
        </w:rPr>
        <w:t>%，主要是</w:t>
      </w:r>
      <w:r>
        <w:rPr>
          <w:rFonts w:ascii="仿宋_GB2312" w:eastAsia="仿宋_GB2312" w:cs="DengXian-Regular"/>
          <w:sz w:val="32"/>
          <w:szCs w:val="32"/>
        </w:rPr>
        <w:t>2019</w:t>
      </w:r>
      <w:r>
        <w:rPr>
          <w:rFonts w:ascii="仿宋_GB2312" w:eastAsia="仿宋_GB2312" w:cs="DengXian-Regular" w:hint="eastAsia"/>
          <w:sz w:val="32"/>
          <w:szCs w:val="32"/>
        </w:rPr>
        <w:t>年我镇实行了机构改革，胜芳建设局并入我镇，主要增加了城乡社区事务方面的支出。具体情况如下：</w:t>
      </w:r>
    </w:p>
    <w:p w:rsidR="00A90DD5" w:rsidRDefault="00155BB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1.一般公共预算财政拨款本年收入</w:t>
      </w:r>
      <w:r>
        <w:rPr>
          <w:rFonts w:ascii="仿宋_GB2312" w:eastAsia="仿宋_GB2312" w:cs="DengXian-Regular"/>
          <w:sz w:val="32"/>
          <w:szCs w:val="32"/>
        </w:rPr>
        <w:t>16170.05</w:t>
      </w:r>
      <w:r>
        <w:rPr>
          <w:rFonts w:ascii="仿宋_GB2312" w:eastAsia="仿宋_GB2312" w:cs="DengXian-Regular" w:hint="eastAsia"/>
          <w:sz w:val="32"/>
          <w:szCs w:val="32"/>
        </w:rPr>
        <w:t>万元，比上年增加8</w:t>
      </w:r>
      <w:r>
        <w:rPr>
          <w:rFonts w:ascii="仿宋_GB2312" w:eastAsia="仿宋_GB2312" w:cs="DengXian-Regular"/>
          <w:sz w:val="32"/>
          <w:szCs w:val="32"/>
        </w:rPr>
        <w:t>813.8</w:t>
      </w:r>
      <w:r>
        <w:rPr>
          <w:rFonts w:ascii="仿宋_GB2312" w:eastAsia="仿宋_GB2312" w:cs="DengXian-Regular" w:hint="eastAsia"/>
          <w:sz w:val="32"/>
          <w:szCs w:val="32"/>
        </w:rPr>
        <w:t>万元，增长1</w:t>
      </w:r>
      <w:r>
        <w:rPr>
          <w:rFonts w:ascii="仿宋_GB2312" w:eastAsia="仿宋_GB2312" w:cs="DengXian-Regular"/>
          <w:sz w:val="32"/>
          <w:szCs w:val="32"/>
        </w:rPr>
        <w:t>19.81</w:t>
      </w:r>
      <w:r>
        <w:rPr>
          <w:rFonts w:ascii="仿宋_GB2312" w:eastAsia="仿宋_GB2312" w:cs="DengXian-Regular" w:hint="eastAsia"/>
          <w:sz w:val="32"/>
          <w:szCs w:val="32"/>
        </w:rPr>
        <w:t>%，主要是</w:t>
      </w:r>
      <w:r>
        <w:rPr>
          <w:rFonts w:ascii="仿宋_GB2312" w:eastAsia="仿宋_GB2312" w:cs="DengXian-Regular"/>
          <w:sz w:val="32"/>
          <w:szCs w:val="32"/>
        </w:rPr>
        <w:t>2019</w:t>
      </w:r>
      <w:r>
        <w:rPr>
          <w:rFonts w:ascii="仿宋_GB2312" w:eastAsia="仿宋_GB2312" w:cs="DengXian-Regular" w:hint="eastAsia"/>
          <w:sz w:val="32"/>
          <w:szCs w:val="32"/>
        </w:rPr>
        <w:t>年我镇实行了机构改革，胜芳建设局并入我镇，主要增加了城乡社区事务方面的收入；本年支出</w:t>
      </w:r>
      <w:r>
        <w:rPr>
          <w:rFonts w:ascii="仿宋_GB2312" w:eastAsia="仿宋_GB2312" w:cs="DengXian-Regular"/>
          <w:sz w:val="32"/>
          <w:szCs w:val="32"/>
        </w:rPr>
        <w:t>17776.64</w:t>
      </w:r>
      <w:r>
        <w:rPr>
          <w:rFonts w:ascii="仿宋_GB2312" w:eastAsia="仿宋_GB2312" w:cs="DengXian-Regular" w:hint="eastAsia"/>
          <w:sz w:val="32"/>
          <w:szCs w:val="32"/>
        </w:rPr>
        <w:t>万元，比上年增加1</w:t>
      </w:r>
      <w:r>
        <w:rPr>
          <w:rFonts w:ascii="仿宋_GB2312" w:eastAsia="仿宋_GB2312" w:cs="DengXian-Regular"/>
          <w:sz w:val="32"/>
          <w:szCs w:val="32"/>
        </w:rPr>
        <w:t>0008.51</w:t>
      </w:r>
      <w:r>
        <w:rPr>
          <w:rFonts w:ascii="仿宋_GB2312" w:eastAsia="仿宋_GB2312" w:cs="DengXian-Regular" w:hint="eastAsia"/>
          <w:sz w:val="32"/>
          <w:szCs w:val="32"/>
        </w:rPr>
        <w:t>万元，增长1</w:t>
      </w:r>
      <w:r>
        <w:rPr>
          <w:rFonts w:ascii="仿宋_GB2312" w:eastAsia="仿宋_GB2312" w:cs="DengXian-Regular"/>
          <w:sz w:val="32"/>
          <w:szCs w:val="32"/>
        </w:rPr>
        <w:t>28.84</w:t>
      </w:r>
      <w:r>
        <w:rPr>
          <w:rFonts w:ascii="仿宋_GB2312" w:eastAsia="仿宋_GB2312" w:cs="DengXian-Regular" w:hint="eastAsia"/>
          <w:sz w:val="32"/>
          <w:szCs w:val="32"/>
        </w:rPr>
        <w:t>%，主要是</w:t>
      </w:r>
      <w:r>
        <w:rPr>
          <w:rFonts w:ascii="仿宋_GB2312" w:eastAsia="仿宋_GB2312" w:cs="DengXian-Regular"/>
          <w:sz w:val="32"/>
          <w:szCs w:val="32"/>
        </w:rPr>
        <w:t>2019</w:t>
      </w:r>
      <w:r>
        <w:rPr>
          <w:rFonts w:ascii="仿宋_GB2312" w:eastAsia="仿宋_GB2312" w:cs="DengXian-Regular" w:hint="eastAsia"/>
          <w:sz w:val="32"/>
          <w:szCs w:val="32"/>
        </w:rPr>
        <w:t>年我镇实行了机构改革，胜芳建设局并入我镇，主要增加了城乡社区事务方面的支出。</w:t>
      </w:r>
    </w:p>
    <w:p w:rsidR="00A90DD5" w:rsidRDefault="00155BB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2.政府性基金预算财政拨款本年收入</w:t>
      </w:r>
      <w:r>
        <w:rPr>
          <w:rFonts w:ascii="仿宋_GB2312" w:eastAsia="仿宋_GB2312" w:cs="DengXian-Regular"/>
          <w:sz w:val="32"/>
          <w:szCs w:val="32"/>
        </w:rPr>
        <w:t>14275.62</w:t>
      </w:r>
      <w:r>
        <w:rPr>
          <w:rFonts w:ascii="仿宋_GB2312" w:eastAsia="仿宋_GB2312" w:cs="DengXian-Regular" w:hint="eastAsia"/>
          <w:sz w:val="32"/>
          <w:szCs w:val="32"/>
        </w:rPr>
        <w:t>万元，比上</w:t>
      </w:r>
      <w:r>
        <w:rPr>
          <w:rFonts w:ascii="仿宋_GB2312" w:eastAsia="仿宋_GB2312" w:cs="DengXian-Regular" w:hint="eastAsia"/>
          <w:sz w:val="32"/>
          <w:szCs w:val="32"/>
        </w:rPr>
        <w:lastRenderedPageBreak/>
        <w:t>年增加9</w:t>
      </w:r>
      <w:r>
        <w:rPr>
          <w:rFonts w:ascii="仿宋_GB2312" w:eastAsia="仿宋_GB2312" w:cs="DengXian-Regular"/>
          <w:sz w:val="32"/>
          <w:szCs w:val="32"/>
        </w:rPr>
        <w:t>475.09</w:t>
      </w:r>
      <w:r>
        <w:rPr>
          <w:rFonts w:ascii="仿宋_GB2312" w:eastAsia="仿宋_GB2312" w:cs="DengXian-Regular" w:hint="eastAsia"/>
          <w:sz w:val="32"/>
          <w:szCs w:val="32"/>
        </w:rPr>
        <w:t>万元，增长1</w:t>
      </w:r>
      <w:r>
        <w:rPr>
          <w:rFonts w:ascii="仿宋_GB2312" w:eastAsia="仿宋_GB2312" w:cs="DengXian-Regular"/>
          <w:sz w:val="32"/>
          <w:szCs w:val="32"/>
        </w:rPr>
        <w:t>97.38</w:t>
      </w:r>
      <w:r>
        <w:rPr>
          <w:rFonts w:ascii="仿宋_GB2312" w:eastAsia="仿宋_GB2312" w:cs="DengXian-Regular" w:hint="eastAsia"/>
          <w:sz w:val="32"/>
          <w:szCs w:val="32"/>
        </w:rPr>
        <w:t>%，主要是</w:t>
      </w:r>
      <w:r>
        <w:rPr>
          <w:rFonts w:ascii="仿宋_GB2312" w:eastAsia="仿宋_GB2312" w:cs="DengXian-Regular"/>
          <w:sz w:val="32"/>
          <w:szCs w:val="32"/>
        </w:rPr>
        <w:t>2019</w:t>
      </w:r>
      <w:r>
        <w:rPr>
          <w:rFonts w:ascii="仿宋_GB2312" w:eastAsia="仿宋_GB2312" w:cs="DengXian-Regular" w:hint="eastAsia"/>
          <w:sz w:val="32"/>
          <w:szCs w:val="32"/>
        </w:rPr>
        <w:t>年我镇实行了机构改革，胜芳建设局并入我镇，主要增加了城乡社区事务方面的收入；本年支出</w:t>
      </w:r>
      <w:r>
        <w:rPr>
          <w:rFonts w:ascii="仿宋_GB2312" w:eastAsia="仿宋_GB2312" w:cs="DengXian-Regular"/>
          <w:sz w:val="32"/>
          <w:szCs w:val="32"/>
        </w:rPr>
        <w:t>14275.62</w:t>
      </w:r>
      <w:r>
        <w:rPr>
          <w:rFonts w:ascii="仿宋_GB2312" w:eastAsia="仿宋_GB2312" w:cs="DengXian-Regular" w:hint="eastAsia"/>
          <w:sz w:val="32"/>
          <w:szCs w:val="32"/>
        </w:rPr>
        <w:t>万元，比上年增加9</w:t>
      </w:r>
      <w:r>
        <w:rPr>
          <w:rFonts w:ascii="仿宋_GB2312" w:eastAsia="仿宋_GB2312" w:cs="DengXian-Regular"/>
          <w:sz w:val="32"/>
          <w:szCs w:val="32"/>
        </w:rPr>
        <w:t>475.09</w:t>
      </w:r>
      <w:r>
        <w:rPr>
          <w:rFonts w:ascii="仿宋_GB2312" w:eastAsia="仿宋_GB2312" w:cs="DengXian-Regular" w:hint="eastAsia"/>
          <w:sz w:val="32"/>
          <w:szCs w:val="32"/>
        </w:rPr>
        <w:t>万元，增长1</w:t>
      </w:r>
      <w:r>
        <w:rPr>
          <w:rFonts w:ascii="仿宋_GB2312" w:eastAsia="仿宋_GB2312" w:cs="DengXian-Regular"/>
          <w:sz w:val="32"/>
          <w:szCs w:val="32"/>
        </w:rPr>
        <w:t>97.38</w:t>
      </w:r>
      <w:r>
        <w:rPr>
          <w:rFonts w:ascii="仿宋_GB2312" w:eastAsia="仿宋_GB2312" w:cs="DengXian-Regular" w:hint="eastAsia"/>
          <w:sz w:val="32"/>
          <w:szCs w:val="32"/>
        </w:rPr>
        <w:t>%，主要是</w:t>
      </w:r>
      <w:r>
        <w:rPr>
          <w:rFonts w:ascii="仿宋_GB2312" w:eastAsia="仿宋_GB2312" w:cs="DengXian-Regular"/>
          <w:sz w:val="32"/>
          <w:szCs w:val="32"/>
        </w:rPr>
        <w:t>2019</w:t>
      </w:r>
      <w:r>
        <w:rPr>
          <w:rFonts w:ascii="仿宋_GB2312" w:eastAsia="仿宋_GB2312" w:cs="DengXian-Regular" w:hint="eastAsia"/>
          <w:sz w:val="32"/>
          <w:szCs w:val="32"/>
        </w:rPr>
        <w:t>年我镇实行了机构改革，胜芳建设局并入我镇，主要增加了城乡社区事务方面的支出。</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1860"/>
        <w:gridCol w:w="1037"/>
        <w:gridCol w:w="1038"/>
        <w:gridCol w:w="1039"/>
        <w:gridCol w:w="1038"/>
        <w:gridCol w:w="1039"/>
        <w:gridCol w:w="1823"/>
      </w:tblGrid>
      <w:tr w:rsidR="00A90DD5">
        <w:trPr>
          <w:trHeight w:val="375"/>
        </w:trPr>
        <w:tc>
          <w:tcPr>
            <w:tcW w:w="8874" w:type="dxa"/>
            <w:gridSpan w:val="7"/>
            <w:shd w:val="clear" w:color="auto" w:fill="auto"/>
            <w:vAlign w:val="center"/>
          </w:tcPr>
          <w:p w:rsidR="00A90DD5" w:rsidRDefault="00155BB9">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表3：201</w:t>
            </w:r>
            <w:r>
              <w:rPr>
                <w:rFonts w:ascii="仿宋_GB2312" w:eastAsia="仿宋_GB2312" w:hAnsi="宋体" w:cs="仿宋_GB2312" w:hint="eastAsia"/>
                <w:color w:val="000000"/>
                <w:kern w:val="0"/>
                <w:sz w:val="28"/>
                <w:szCs w:val="28"/>
              </w:rPr>
              <w:t>8</w:t>
            </w:r>
            <w:r>
              <w:rPr>
                <w:rFonts w:ascii="仿宋_GB2312" w:eastAsia="仿宋_GB2312" w:hAnsi="宋体" w:cs="仿宋_GB2312"/>
                <w:color w:val="000000"/>
                <w:kern w:val="0"/>
                <w:sz w:val="28"/>
                <w:szCs w:val="28"/>
              </w:rPr>
              <w:t>-201</w:t>
            </w:r>
            <w:r>
              <w:rPr>
                <w:rFonts w:ascii="仿宋_GB2312" w:eastAsia="仿宋_GB2312" w:hAnsi="宋体" w:cs="仿宋_GB2312" w:hint="eastAsia"/>
                <w:color w:val="000000"/>
                <w:kern w:val="0"/>
                <w:sz w:val="28"/>
                <w:szCs w:val="28"/>
              </w:rPr>
              <w:t>9</w:t>
            </w:r>
            <w:r>
              <w:rPr>
                <w:rFonts w:ascii="仿宋_GB2312" w:eastAsia="仿宋_GB2312" w:hAnsi="宋体" w:cs="仿宋_GB2312"/>
                <w:color w:val="000000"/>
                <w:kern w:val="0"/>
                <w:sz w:val="28"/>
                <w:szCs w:val="28"/>
              </w:rPr>
              <w:t>年财政拨款收支情况</w:t>
            </w:r>
          </w:p>
        </w:tc>
      </w:tr>
      <w:tr w:rsidR="00A90DD5">
        <w:trPr>
          <w:trHeight w:val="56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A90DD5">
        <w:trPr>
          <w:trHeight w:val="1392"/>
        </w:trPr>
        <w:tc>
          <w:tcPr>
            <w:tcW w:w="1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A90DD5">
            <w:pPr>
              <w:jc w:val="center"/>
              <w:rPr>
                <w:rFonts w:ascii="宋体" w:hAns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A90DD5">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2018年（万元）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2156.78</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7</w:t>
            </w:r>
            <w:r>
              <w:rPr>
                <w:rFonts w:ascii="宋体" w:hAnsi="宋体" w:cs="宋体"/>
                <w:color w:val="000000"/>
                <w:sz w:val="24"/>
              </w:rPr>
              <w:t>356.25</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4</w:t>
            </w:r>
            <w:r>
              <w:rPr>
                <w:rFonts w:ascii="宋体" w:hAnsi="宋体" w:cs="宋体"/>
                <w:color w:val="000000"/>
                <w:sz w:val="24"/>
              </w:rPr>
              <w:t>800.53</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2568.66</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7</w:t>
            </w:r>
            <w:r>
              <w:rPr>
                <w:rFonts w:ascii="宋体" w:hAnsi="宋体" w:cs="宋体"/>
                <w:color w:val="000000"/>
                <w:sz w:val="24"/>
              </w:rPr>
              <w:t>768.13</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4</w:t>
            </w:r>
            <w:r>
              <w:rPr>
                <w:rFonts w:ascii="宋体" w:hAnsi="宋体" w:cs="宋体"/>
                <w:color w:val="000000"/>
                <w:sz w:val="24"/>
              </w:rPr>
              <w:t>800.53</w:t>
            </w:r>
          </w:p>
        </w:tc>
      </w:tr>
      <w:tr w:rsidR="00A90DD5">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2019年（万元）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3</w:t>
            </w:r>
            <w:r>
              <w:rPr>
                <w:rFonts w:ascii="宋体" w:hAnsi="宋体" w:cs="宋体"/>
                <w:color w:val="000000"/>
                <w:sz w:val="24"/>
              </w:rPr>
              <w:t>0445.68</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6170.05</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4275.62</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3</w:t>
            </w:r>
            <w:r>
              <w:rPr>
                <w:rFonts w:ascii="宋体" w:hAnsi="宋体" w:cs="宋体"/>
                <w:color w:val="000000"/>
                <w:sz w:val="24"/>
              </w:rPr>
              <w:t>2052.26</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7776.64</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4275.62</w:t>
            </w:r>
          </w:p>
        </w:tc>
      </w:tr>
      <w:tr w:rsidR="00A90DD5">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增长比率（%）</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50.44</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19.81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97.38</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55.02</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28.84</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97.38</w:t>
            </w:r>
          </w:p>
        </w:tc>
      </w:tr>
    </w:tbl>
    <w:p w:rsidR="00A90DD5" w:rsidRDefault="00A90DD5">
      <w:pPr>
        <w:spacing w:after="0" w:line="580" w:lineRule="exact"/>
        <w:ind w:firstLineChars="200" w:firstLine="641"/>
        <w:rPr>
          <w:rFonts w:ascii="楷体_GB2312" w:eastAsia="楷体_GB2312" w:cs="DengXian-Bold"/>
          <w:b/>
          <w:bCs/>
          <w:sz w:val="32"/>
          <w:szCs w:val="32"/>
        </w:rPr>
      </w:pPr>
    </w:p>
    <w:p w:rsidR="00A90DD5" w:rsidRDefault="00155BB9">
      <w:pPr>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A90DD5" w:rsidRDefault="00155BB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本部门2019年度财政拨款本年收入</w:t>
      </w:r>
      <w:r>
        <w:rPr>
          <w:rFonts w:ascii="仿宋_GB2312" w:eastAsia="仿宋_GB2312" w:cs="DengXian-Regular"/>
          <w:sz w:val="32"/>
          <w:szCs w:val="32"/>
        </w:rPr>
        <w:t>30445.68</w:t>
      </w:r>
      <w:r>
        <w:rPr>
          <w:rFonts w:ascii="仿宋_GB2312" w:eastAsia="仿宋_GB2312" w:cs="DengXian-Regular" w:hint="eastAsia"/>
          <w:sz w:val="32"/>
          <w:szCs w:val="32"/>
        </w:rPr>
        <w:t>万元，完成年初预算的</w:t>
      </w:r>
      <w:r>
        <w:rPr>
          <w:rFonts w:ascii="仿宋_GB2312" w:eastAsia="仿宋_GB2312" w:cs="DengXian-Regular"/>
          <w:sz w:val="32"/>
          <w:szCs w:val="32"/>
        </w:rPr>
        <w:t>283.74</w:t>
      </w:r>
      <w:r>
        <w:rPr>
          <w:rFonts w:ascii="仿宋_GB2312" w:eastAsia="仿宋_GB2312" w:cs="DengXian-Regular" w:hint="eastAsia"/>
          <w:sz w:val="32"/>
          <w:szCs w:val="32"/>
        </w:rPr>
        <w:t>%,比年初预算增加1</w:t>
      </w:r>
      <w:r>
        <w:rPr>
          <w:rFonts w:ascii="仿宋_GB2312" w:eastAsia="仿宋_GB2312" w:cs="DengXian-Regular"/>
          <w:sz w:val="32"/>
          <w:szCs w:val="32"/>
        </w:rPr>
        <w:t>9715.48</w:t>
      </w:r>
      <w:r>
        <w:rPr>
          <w:rFonts w:ascii="仿宋_GB2312" w:eastAsia="仿宋_GB2312" w:cs="DengXian-Regular" w:hint="eastAsia"/>
          <w:sz w:val="32"/>
          <w:szCs w:val="32"/>
        </w:rPr>
        <w:t>万元，决算数大于预算数主要原因是</w:t>
      </w:r>
      <w:r>
        <w:rPr>
          <w:rFonts w:ascii="仿宋_GB2312" w:eastAsia="仿宋_GB2312" w:cs="DengXian-Regular"/>
          <w:sz w:val="32"/>
          <w:szCs w:val="32"/>
        </w:rPr>
        <w:t>2019</w:t>
      </w:r>
      <w:r>
        <w:rPr>
          <w:rFonts w:ascii="仿宋_GB2312" w:eastAsia="仿宋_GB2312" w:cs="DengXian-Regular" w:hint="eastAsia"/>
          <w:sz w:val="32"/>
          <w:szCs w:val="32"/>
        </w:rPr>
        <w:t>年我镇实行了机构改革，胜芳建设局并入我镇，主要增加了城乡社区事务方面的收入；本年支出</w:t>
      </w:r>
      <w:r>
        <w:rPr>
          <w:rFonts w:ascii="仿宋_GB2312" w:eastAsia="仿宋_GB2312" w:cs="DengXian-Regular"/>
          <w:sz w:val="32"/>
          <w:szCs w:val="32"/>
        </w:rPr>
        <w:lastRenderedPageBreak/>
        <w:t>32052.26</w:t>
      </w:r>
      <w:r>
        <w:rPr>
          <w:rFonts w:ascii="仿宋_GB2312" w:eastAsia="仿宋_GB2312" w:cs="DengXian-Regular" w:hint="eastAsia"/>
          <w:sz w:val="32"/>
          <w:szCs w:val="32"/>
        </w:rPr>
        <w:t>万元，完成年初预算的</w:t>
      </w:r>
      <w:r>
        <w:rPr>
          <w:rFonts w:ascii="仿宋_GB2312" w:eastAsia="仿宋_GB2312" w:cs="DengXian-Regular"/>
          <w:sz w:val="32"/>
          <w:szCs w:val="32"/>
        </w:rPr>
        <w:t>298.71</w:t>
      </w:r>
      <w:r>
        <w:rPr>
          <w:rFonts w:ascii="仿宋_GB2312" w:eastAsia="仿宋_GB2312" w:cs="DengXian-Regular" w:hint="eastAsia"/>
          <w:sz w:val="32"/>
          <w:szCs w:val="32"/>
        </w:rPr>
        <w:t>%,比年初预算增加2</w:t>
      </w:r>
      <w:r>
        <w:rPr>
          <w:rFonts w:ascii="仿宋_GB2312" w:eastAsia="仿宋_GB2312" w:cs="DengXian-Regular"/>
          <w:sz w:val="32"/>
          <w:szCs w:val="32"/>
        </w:rPr>
        <w:t>1322.06</w:t>
      </w:r>
      <w:r>
        <w:rPr>
          <w:rFonts w:ascii="仿宋_GB2312" w:eastAsia="仿宋_GB2312" w:cs="DengXian-Regular" w:hint="eastAsia"/>
          <w:sz w:val="32"/>
          <w:szCs w:val="32"/>
        </w:rPr>
        <w:t>万元，决算数大于预算数主要原因是</w:t>
      </w:r>
      <w:r>
        <w:rPr>
          <w:rFonts w:ascii="仿宋_GB2312" w:eastAsia="仿宋_GB2312" w:cs="DengXian-Regular"/>
          <w:sz w:val="32"/>
          <w:szCs w:val="32"/>
        </w:rPr>
        <w:t>2019</w:t>
      </w:r>
      <w:r>
        <w:rPr>
          <w:rFonts w:ascii="仿宋_GB2312" w:eastAsia="仿宋_GB2312" w:cs="DengXian-Regular" w:hint="eastAsia"/>
          <w:sz w:val="32"/>
          <w:szCs w:val="32"/>
        </w:rPr>
        <w:t>年我镇实行了机构改革，胜芳建设局并入我镇，主要增加了城乡社区事务方面的支出。具体情况如下：</w:t>
      </w:r>
    </w:p>
    <w:p w:rsidR="00A90DD5" w:rsidRDefault="00155BB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1.一般公共预算财政拨款本年收入完成年初预算</w:t>
      </w:r>
      <w:r>
        <w:rPr>
          <w:rFonts w:ascii="仿宋_GB2312" w:eastAsia="仿宋_GB2312" w:cs="DengXian-Regular"/>
          <w:sz w:val="32"/>
          <w:szCs w:val="32"/>
        </w:rPr>
        <w:t>158.89</w:t>
      </w:r>
      <w:r>
        <w:rPr>
          <w:rFonts w:ascii="仿宋_GB2312" w:eastAsia="仿宋_GB2312" w:cs="DengXian-Regular" w:hint="eastAsia"/>
          <w:sz w:val="32"/>
          <w:szCs w:val="32"/>
        </w:rPr>
        <w:t>%，比年初预算增加5</w:t>
      </w:r>
      <w:r>
        <w:rPr>
          <w:rFonts w:ascii="仿宋_GB2312" w:eastAsia="仿宋_GB2312" w:cs="DengXian-Regular"/>
          <w:sz w:val="32"/>
          <w:szCs w:val="32"/>
        </w:rPr>
        <w:t>993.13</w:t>
      </w:r>
      <w:r>
        <w:rPr>
          <w:rFonts w:ascii="仿宋_GB2312" w:eastAsia="仿宋_GB2312" w:cs="DengXian-Regular" w:hint="eastAsia"/>
          <w:sz w:val="32"/>
          <w:szCs w:val="32"/>
        </w:rPr>
        <w:t>万元，主要是</w:t>
      </w:r>
      <w:r>
        <w:rPr>
          <w:rFonts w:ascii="仿宋_GB2312" w:eastAsia="仿宋_GB2312" w:cs="DengXian-Regular"/>
          <w:sz w:val="32"/>
          <w:szCs w:val="32"/>
        </w:rPr>
        <w:t>2019</w:t>
      </w:r>
      <w:r>
        <w:rPr>
          <w:rFonts w:ascii="仿宋_GB2312" w:eastAsia="仿宋_GB2312" w:cs="DengXian-Regular" w:hint="eastAsia"/>
          <w:sz w:val="32"/>
          <w:szCs w:val="32"/>
        </w:rPr>
        <w:t>年我镇实行了机构改革，胜芳建设局并入我镇，主要增加了城乡社区事务方面的收入；支出完成年初预算</w:t>
      </w:r>
      <w:r>
        <w:rPr>
          <w:rFonts w:ascii="仿宋_GB2312" w:eastAsia="仿宋_GB2312" w:cs="DengXian-Regular"/>
          <w:sz w:val="32"/>
          <w:szCs w:val="32"/>
        </w:rPr>
        <w:t>174.68</w:t>
      </w:r>
      <w:r>
        <w:rPr>
          <w:rFonts w:ascii="仿宋_GB2312" w:eastAsia="仿宋_GB2312" w:cs="DengXian-Regular" w:hint="eastAsia"/>
          <w:sz w:val="32"/>
          <w:szCs w:val="32"/>
        </w:rPr>
        <w:t>%，比年初预算增加7</w:t>
      </w:r>
      <w:r>
        <w:rPr>
          <w:rFonts w:ascii="仿宋_GB2312" w:eastAsia="仿宋_GB2312" w:cs="DengXian-Regular"/>
          <w:sz w:val="32"/>
          <w:szCs w:val="32"/>
        </w:rPr>
        <w:t>599.72</w:t>
      </w:r>
      <w:r>
        <w:rPr>
          <w:rFonts w:ascii="仿宋_GB2312" w:eastAsia="仿宋_GB2312" w:cs="DengXian-Regular" w:hint="eastAsia"/>
          <w:sz w:val="32"/>
          <w:szCs w:val="32"/>
        </w:rPr>
        <w:t>万元，主要是</w:t>
      </w:r>
      <w:r>
        <w:rPr>
          <w:rFonts w:ascii="仿宋_GB2312" w:eastAsia="仿宋_GB2312" w:cs="DengXian-Regular"/>
          <w:sz w:val="32"/>
          <w:szCs w:val="32"/>
        </w:rPr>
        <w:t>2019</w:t>
      </w:r>
      <w:r>
        <w:rPr>
          <w:rFonts w:ascii="仿宋_GB2312" w:eastAsia="仿宋_GB2312" w:cs="DengXian-Regular" w:hint="eastAsia"/>
          <w:sz w:val="32"/>
          <w:szCs w:val="32"/>
        </w:rPr>
        <w:t xml:space="preserve">年我镇实行了机构改革，胜芳建设局并入我镇，主要增加了城乡社区事务方面的支出。  </w:t>
      </w:r>
    </w:p>
    <w:p w:rsidR="00A90DD5" w:rsidRDefault="00155BB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2.政府性基金预算财政拨款本年收入完成年初预算</w:t>
      </w:r>
      <w:r>
        <w:rPr>
          <w:rFonts w:ascii="仿宋_GB2312" w:eastAsia="仿宋_GB2312" w:cs="DengXian-Regular"/>
          <w:sz w:val="32"/>
          <w:szCs w:val="32"/>
        </w:rPr>
        <w:t>2580.18</w:t>
      </w:r>
      <w:r>
        <w:rPr>
          <w:rFonts w:ascii="仿宋_GB2312" w:eastAsia="仿宋_GB2312" w:cs="DengXian-Regular" w:hint="eastAsia"/>
          <w:sz w:val="32"/>
          <w:szCs w:val="32"/>
        </w:rPr>
        <w:t>%，比年初预算增加1</w:t>
      </w:r>
      <w:r>
        <w:rPr>
          <w:rFonts w:ascii="仿宋_GB2312" w:eastAsia="仿宋_GB2312" w:cs="DengXian-Regular"/>
          <w:sz w:val="32"/>
          <w:szCs w:val="32"/>
        </w:rPr>
        <w:t>3722.34</w:t>
      </w:r>
      <w:r>
        <w:rPr>
          <w:rFonts w:ascii="仿宋_GB2312" w:eastAsia="仿宋_GB2312" w:cs="DengXian-Regular" w:hint="eastAsia"/>
          <w:sz w:val="32"/>
          <w:szCs w:val="32"/>
        </w:rPr>
        <w:t>万元，主要是</w:t>
      </w:r>
      <w:r>
        <w:rPr>
          <w:rFonts w:ascii="仿宋_GB2312" w:eastAsia="仿宋_GB2312" w:cs="DengXian-Regular"/>
          <w:sz w:val="32"/>
          <w:szCs w:val="32"/>
        </w:rPr>
        <w:t>2019</w:t>
      </w:r>
      <w:r>
        <w:rPr>
          <w:rFonts w:ascii="仿宋_GB2312" w:eastAsia="仿宋_GB2312" w:cs="DengXian-Regular" w:hint="eastAsia"/>
          <w:sz w:val="32"/>
          <w:szCs w:val="32"/>
        </w:rPr>
        <w:t>年我镇实行了机构改革，胜芳建设局并入我镇，主要增加了城乡社区事务方面的收入；支出完成年初预算</w:t>
      </w:r>
      <w:r>
        <w:rPr>
          <w:rFonts w:ascii="仿宋_GB2312" w:eastAsia="仿宋_GB2312" w:cs="DengXian-Regular"/>
          <w:sz w:val="32"/>
          <w:szCs w:val="32"/>
        </w:rPr>
        <w:t>2580.18</w:t>
      </w:r>
      <w:r>
        <w:rPr>
          <w:rFonts w:ascii="仿宋_GB2312" w:eastAsia="仿宋_GB2312" w:cs="DengXian-Regular" w:hint="eastAsia"/>
          <w:sz w:val="32"/>
          <w:szCs w:val="32"/>
        </w:rPr>
        <w:t>%，比年初预算增加1</w:t>
      </w:r>
      <w:r>
        <w:rPr>
          <w:rFonts w:ascii="仿宋_GB2312" w:eastAsia="仿宋_GB2312" w:cs="DengXian-Regular"/>
          <w:sz w:val="32"/>
          <w:szCs w:val="32"/>
        </w:rPr>
        <w:t>3722.34</w:t>
      </w:r>
      <w:r>
        <w:rPr>
          <w:rFonts w:ascii="仿宋_GB2312" w:eastAsia="仿宋_GB2312" w:cs="DengXian-Regular" w:hint="eastAsia"/>
          <w:sz w:val="32"/>
          <w:szCs w:val="32"/>
        </w:rPr>
        <w:t>万元，主要是</w:t>
      </w:r>
      <w:r>
        <w:rPr>
          <w:rFonts w:ascii="仿宋_GB2312" w:eastAsia="仿宋_GB2312" w:cs="DengXian-Regular"/>
          <w:sz w:val="32"/>
          <w:szCs w:val="32"/>
        </w:rPr>
        <w:t>2019</w:t>
      </w:r>
      <w:r>
        <w:rPr>
          <w:rFonts w:ascii="仿宋_GB2312" w:eastAsia="仿宋_GB2312" w:cs="DengXian-Regular" w:hint="eastAsia"/>
          <w:sz w:val="32"/>
          <w:szCs w:val="32"/>
        </w:rPr>
        <w:t>年我镇实行了机构改革，胜芳建设局并入我镇，主要增加了城乡社区事务方面的支出。</w:t>
      </w:r>
    </w:p>
    <w:tbl>
      <w:tblPr>
        <w:tblW w:w="9045" w:type="dxa"/>
        <w:tblLayout w:type="fixed"/>
        <w:tblCellMar>
          <w:top w:w="15" w:type="dxa"/>
          <w:left w:w="15" w:type="dxa"/>
          <w:bottom w:w="15" w:type="dxa"/>
          <w:right w:w="15" w:type="dxa"/>
        </w:tblCellMar>
        <w:tblLook w:val="04A0" w:firstRow="1" w:lastRow="0" w:firstColumn="1" w:lastColumn="0" w:noHBand="0" w:noVBand="1"/>
      </w:tblPr>
      <w:tblGrid>
        <w:gridCol w:w="1855"/>
        <w:gridCol w:w="1523"/>
        <w:gridCol w:w="1003"/>
        <w:gridCol w:w="1522"/>
        <w:gridCol w:w="1003"/>
        <w:gridCol w:w="1003"/>
        <w:gridCol w:w="1136"/>
      </w:tblGrid>
      <w:tr w:rsidR="00A90DD5">
        <w:trPr>
          <w:trHeight w:val="510"/>
        </w:trPr>
        <w:tc>
          <w:tcPr>
            <w:tcW w:w="9045" w:type="dxa"/>
            <w:gridSpan w:val="7"/>
            <w:shd w:val="clear" w:color="auto" w:fill="auto"/>
            <w:vAlign w:val="center"/>
          </w:tcPr>
          <w:p w:rsidR="00A90DD5" w:rsidRDefault="00155BB9">
            <w:pPr>
              <w:widowControl/>
              <w:jc w:val="center"/>
              <w:textAlignment w:val="center"/>
              <w:rPr>
                <w:rFonts w:ascii="宋体" w:hAnsi="宋体" w:cs="宋体"/>
                <w:color w:val="000000"/>
                <w:sz w:val="24"/>
              </w:rPr>
            </w:pPr>
            <w:r>
              <w:rPr>
                <w:rFonts w:ascii="宋体" w:hAnsi="宋体" w:cs="宋体" w:hint="eastAsia"/>
                <w:color w:val="000000"/>
                <w:kern w:val="0"/>
                <w:sz w:val="24"/>
              </w:rPr>
              <w:t>表4：财政拨款收支预决算对比情况</w:t>
            </w:r>
          </w:p>
        </w:tc>
      </w:tr>
      <w:tr w:rsidR="00A90DD5">
        <w:trPr>
          <w:trHeight w:val="286"/>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A90DD5">
        <w:trPr>
          <w:trHeight w:val="720"/>
        </w:trPr>
        <w:tc>
          <w:tcPr>
            <w:tcW w:w="1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A90DD5">
            <w:pPr>
              <w:jc w:val="center"/>
              <w:rPr>
                <w:rFonts w:ascii="宋体" w:hAns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w:t>
            </w:r>
            <w:r>
              <w:rPr>
                <w:rFonts w:ascii="宋体" w:hAnsi="宋体" w:cs="宋体" w:hint="eastAsia"/>
                <w:color w:val="000000"/>
                <w:kern w:val="0"/>
                <w:sz w:val="20"/>
                <w:szCs w:val="20"/>
              </w:rPr>
              <w:lastRenderedPageBreak/>
              <w:t>拨款收入</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w:t>
            </w:r>
            <w:r>
              <w:rPr>
                <w:rFonts w:ascii="宋体" w:hAnsi="宋体" w:cs="宋体" w:hint="eastAsia"/>
                <w:color w:val="000000"/>
                <w:kern w:val="0"/>
                <w:sz w:val="20"/>
                <w:szCs w:val="20"/>
              </w:rPr>
              <w:lastRenderedPageBreak/>
              <w:t>拨款支出</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政府性基金预算财政拨</w:t>
            </w:r>
            <w:r>
              <w:rPr>
                <w:rFonts w:ascii="宋体" w:hAnsi="宋体" w:cs="宋体" w:hint="eastAsia"/>
                <w:color w:val="000000"/>
                <w:kern w:val="0"/>
                <w:sz w:val="20"/>
                <w:szCs w:val="20"/>
              </w:rPr>
              <w:lastRenderedPageBreak/>
              <w:t>款支出</w:t>
            </w:r>
          </w:p>
        </w:tc>
      </w:tr>
      <w:tr w:rsidR="00A90DD5">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年初预算数（万元）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0730.2</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0176.92</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53.28</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0730.2</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0176.92</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53.28</w:t>
            </w:r>
          </w:p>
        </w:tc>
      </w:tr>
      <w:tr w:rsidR="00A90DD5">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3</w:t>
            </w:r>
            <w:r>
              <w:rPr>
                <w:rFonts w:ascii="宋体" w:hAnsi="宋体" w:cs="宋体"/>
                <w:color w:val="000000"/>
                <w:sz w:val="24"/>
              </w:rPr>
              <w:t>0445.68</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6170.05</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4275.62</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3</w:t>
            </w:r>
            <w:r>
              <w:rPr>
                <w:rFonts w:ascii="宋体" w:hAnsi="宋体" w:cs="宋体"/>
                <w:color w:val="000000"/>
                <w:sz w:val="24"/>
              </w:rPr>
              <w:t>2052.26</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7776.64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DD5" w:rsidRDefault="00155BB9">
            <w:pP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4275.62</w:t>
            </w:r>
          </w:p>
        </w:tc>
      </w:tr>
    </w:tbl>
    <w:p w:rsidR="00A90DD5" w:rsidRDefault="00A90DD5">
      <w:pPr>
        <w:adjustRightInd w:val="0"/>
        <w:snapToGrid w:val="0"/>
        <w:spacing w:after="0" w:line="580" w:lineRule="exact"/>
        <w:ind w:firstLineChars="200" w:firstLine="640"/>
        <w:rPr>
          <w:rFonts w:ascii="仿宋_GB2312" w:eastAsia="仿宋_GB2312" w:cs="DengXian-Regular"/>
          <w:sz w:val="32"/>
          <w:szCs w:val="32"/>
          <w:highlight w:val="yellow"/>
        </w:rPr>
      </w:pPr>
    </w:p>
    <w:p w:rsidR="00A90DD5" w:rsidRDefault="00155BB9">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A90DD5" w:rsidRDefault="00155BB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2019年度财政拨款支出</w:t>
      </w:r>
      <w:r>
        <w:rPr>
          <w:rFonts w:ascii="仿宋_GB2312" w:eastAsia="仿宋_GB2312" w:cs="DengXian-Regular"/>
          <w:sz w:val="32"/>
          <w:szCs w:val="32"/>
        </w:rPr>
        <w:t>32052.26</w:t>
      </w:r>
      <w:r>
        <w:rPr>
          <w:rFonts w:ascii="仿宋_GB2312" w:eastAsia="仿宋_GB2312" w:cs="DengXian-Regular" w:hint="eastAsia"/>
          <w:sz w:val="32"/>
          <w:szCs w:val="32"/>
        </w:rPr>
        <w:t>万元，主要用于以下方面一般公共服务（类）支出</w:t>
      </w:r>
      <w:r>
        <w:rPr>
          <w:rFonts w:ascii="仿宋_GB2312" w:eastAsia="仿宋_GB2312" w:cs="DengXian-Regular"/>
          <w:sz w:val="32"/>
          <w:szCs w:val="32"/>
        </w:rPr>
        <w:t>4358.8</w:t>
      </w:r>
      <w:r>
        <w:rPr>
          <w:rFonts w:ascii="仿宋_GB2312" w:eastAsia="仿宋_GB2312" w:cs="DengXian-Regular" w:hint="eastAsia"/>
          <w:sz w:val="32"/>
          <w:szCs w:val="32"/>
        </w:rPr>
        <w:t>万元，占</w:t>
      </w:r>
      <w:r>
        <w:rPr>
          <w:rFonts w:ascii="仿宋_GB2312" w:eastAsia="仿宋_GB2312" w:cs="DengXian-Regular"/>
          <w:sz w:val="32"/>
          <w:szCs w:val="32"/>
        </w:rPr>
        <w:t>13.6</w:t>
      </w:r>
      <w:r>
        <w:rPr>
          <w:rFonts w:ascii="仿宋_GB2312" w:eastAsia="仿宋_GB2312" w:cs="DengXian-Regular" w:hint="eastAsia"/>
          <w:sz w:val="32"/>
          <w:szCs w:val="32"/>
        </w:rPr>
        <w:t>%；教育（类）支出</w:t>
      </w:r>
      <w:r>
        <w:rPr>
          <w:rFonts w:ascii="仿宋_GB2312" w:eastAsia="仿宋_GB2312" w:cs="DengXian-Regular"/>
          <w:sz w:val="32"/>
          <w:szCs w:val="32"/>
        </w:rPr>
        <w:t>53.91</w:t>
      </w:r>
      <w:r>
        <w:rPr>
          <w:rFonts w:ascii="仿宋_GB2312" w:eastAsia="仿宋_GB2312" w:cs="DengXian-Regular" w:hint="eastAsia"/>
          <w:sz w:val="32"/>
          <w:szCs w:val="32"/>
        </w:rPr>
        <w:t>万元，占</w:t>
      </w:r>
      <w:r>
        <w:rPr>
          <w:rFonts w:ascii="仿宋_GB2312" w:eastAsia="仿宋_GB2312" w:cs="DengXian-Regular"/>
          <w:sz w:val="32"/>
          <w:szCs w:val="32"/>
        </w:rPr>
        <w:t>0.17</w:t>
      </w:r>
      <w:r>
        <w:rPr>
          <w:rFonts w:ascii="仿宋_GB2312" w:eastAsia="仿宋_GB2312" w:cs="DengXian-Regular" w:hint="eastAsia"/>
          <w:sz w:val="32"/>
          <w:szCs w:val="32"/>
        </w:rPr>
        <w:t>%；科学技术（类）支出</w:t>
      </w:r>
      <w:r>
        <w:rPr>
          <w:rFonts w:ascii="仿宋_GB2312" w:eastAsia="仿宋_GB2312" w:cs="DengXian-Regular"/>
          <w:sz w:val="32"/>
          <w:szCs w:val="32"/>
        </w:rPr>
        <w:t>74.38</w:t>
      </w:r>
      <w:r>
        <w:rPr>
          <w:rFonts w:ascii="仿宋_GB2312" w:eastAsia="仿宋_GB2312" w:cs="DengXian-Regular" w:hint="eastAsia"/>
          <w:sz w:val="32"/>
          <w:szCs w:val="32"/>
        </w:rPr>
        <w:t>万元，占</w:t>
      </w:r>
      <w:r>
        <w:rPr>
          <w:rFonts w:ascii="仿宋_GB2312" w:eastAsia="仿宋_GB2312" w:cs="DengXian-Regular"/>
          <w:sz w:val="32"/>
          <w:szCs w:val="32"/>
        </w:rPr>
        <w:t>0.23</w:t>
      </w:r>
      <w:r>
        <w:rPr>
          <w:rFonts w:ascii="仿宋_GB2312" w:eastAsia="仿宋_GB2312" w:cs="DengXian-Regular" w:hint="eastAsia"/>
          <w:sz w:val="32"/>
          <w:szCs w:val="32"/>
        </w:rPr>
        <w:t>%；文化旅游体育与传媒（类）支出5</w:t>
      </w:r>
      <w:r>
        <w:rPr>
          <w:rFonts w:ascii="仿宋_GB2312" w:eastAsia="仿宋_GB2312" w:cs="DengXian-Regular"/>
          <w:sz w:val="32"/>
          <w:szCs w:val="32"/>
        </w:rPr>
        <w:t>67.36</w:t>
      </w:r>
      <w:r>
        <w:rPr>
          <w:rFonts w:ascii="仿宋_GB2312" w:eastAsia="仿宋_GB2312" w:cs="DengXian-Regular" w:hint="eastAsia"/>
          <w:sz w:val="32"/>
          <w:szCs w:val="32"/>
        </w:rPr>
        <w:t>万元，占1</w:t>
      </w:r>
      <w:r>
        <w:rPr>
          <w:rFonts w:ascii="仿宋_GB2312" w:eastAsia="仿宋_GB2312" w:cs="DengXian-Regular"/>
          <w:sz w:val="32"/>
          <w:szCs w:val="32"/>
        </w:rPr>
        <w:t>.77</w:t>
      </w:r>
      <w:r>
        <w:rPr>
          <w:rFonts w:ascii="仿宋_GB2312" w:eastAsia="仿宋_GB2312" w:cs="DengXian-Regular" w:hint="eastAsia"/>
          <w:sz w:val="32"/>
          <w:szCs w:val="32"/>
        </w:rPr>
        <w:t>%；社会保障和就业（类）支出</w:t>
      </w:r>
      <w:r>
        <w:rPr>
          <w:rFonts w:ascii="仿宋_GB2312" w:eastAsia="仿宋_GB2312" w:cs="DengXian-Regular"/>
          <w:sz w:val="32"/>
          <w:szCs w:val="32"/>
        </w:rPr>
        <w:t>130.85</w:t>
      </w:r>
      <w:r>
        <w:rPr>
          <w:rFonts w:ascii="仿宋_GB2312" w:eastAsia="仿宋_GB2312" w:cs="DengXian-Regular" w:hint="eastAsia"/>
          <w:sz w:val="32"/>
          <w:szCs w:val="32"/>
        </w:rPr>
        <w:t>万元，占</w:t>
      </w:r>
      <w:r>
        <w:rPr>
          <w:rFonts w:ascii="仿宋_GB2312" w:eastAsia="仿宋_GB2312" w:cs="DengXian-Regular"/>
          <w:sz w:val="32"/>
          <w:szCs w:val="32"/>
        </w:rPr>
        <w:t>0.41</w:t>
      </w:r>
      <w:r>
        <w:rPr>
          <w:rFonts w:ascii="仿宋_GB2312" w:eastAsia="仿宋_GB2312" w:cs="DengXian-Regular" w:hint="eastAsia"/>
          <w:sz w:val="32"/>
          <w:szCs w:val="32"/>
        </w:rPr>
        <w:t>%；卫生健康（类）支出7</w:t>
      </w:r>
      <w:r>
        <w:rPr>
          <w:rFonts w:ascii="仿宋_GB2312" w:eastAsia="仿宋_GB2312" w:cs="DengXian-Regular"/>
          <w:sz w:val="32"/>
          <w:szCs w:val="32"/>
        </w:rPr>
        <w:t>3.44</w:t>
      </w:r>
      <w:r>
        <w:rPr>
          <w:rFonts w:ascii="仿宋_GB2312" w:eastAsia="仿宋_GB2312" w:cs="DengXian-Regular" w:hint="eastAsia"/>
          <w:sz w:val="32"/>
          <w:szCs w:val="32"/>
        </w:rPr>
        <w:t>万元，占0</w:t>
      </w:r>
      <w:r>
        <w:rPr>
          <w:rFonts w:ascii="仿宋_GB2312" w:eastAsia="仿宋_GB2312" w:cs="DengXian-Regular"/>
          <w:sz w:val="32"/>
          <w:szCs w:val="32"/>
        </w:rPr>
        <w:t>.23</w:t>
      </w:r>
      <w:r>
        <w:rPr>
          <w:rFonts w:ascii="仿宋_GB2312" w:eastAsia="仿宋_GB2312" w:cs="DengXian-Regular" w:hint="eastAsia"/>
          <w:sz w:val="32"/>
          <w:szCs w:val="32"/>
        </w:rPr>
        <w:t>%；节能环保（类）支出1</w:t>
      </w:r>
      <w:r>
        <w:rPr>
          <w:rFonts w:ascii="仿宋_GB2312" w:eastAsia="仿宋_GB2312" w:cs="DengXian-Regular"/>
          <w:sz w:val="32"/>
          <w:szCs w:val="32"/>
        </w:rPr>
        <w:t>147.32</w:t>
      </w:r>
      <w:r>
        <w:rPr>
          <w:rFonts w:ascii="仿宋_GB2312" w:eastAsia="仿宋_GB2312" w:cs="DengXian-Regular" w:hint="eastAsia"/>
          <w:sz w:val="32"/>
          <w:szCs w:val="32"/>
        </w:rPr>
        <w:t>万元，占3</w:t>
      </w:r>
      <w:r>
        <w:rPr>
          <w:rFonts w:ascii="仿宋_GB2312" w:eastAsia="仿宋_GB2312" w:cs="DengXian-Regular"/>
          <w:sz w:val="32"/>
          <w:szCs w:val="32"/>
        </w:rPr>
        <w:t>.58</w:t>
      </w:r>
      <w:r>
        <w:rPr>
          <w:rFonts w:ascii="仿宋_GB2312" w:eastAsia="仿宋_GB2312" w:cs="DengXian-Regular" w:hint="eastAsia"/>
          <w:sz w:val="32"/>
          <w:szCs w:val="32"/>
        </w:rPr>
        <w:t>%；；城乡社区（类）支出2</w:t>
      </w:r>
      <w:r>
        <w:rPr>
          <w:rFonts w:ascii="仿宋_GB2312" w:eastAsia="仿宋_GB2312" w:cs="DengXian-Regular"/>
          <w:sz w:val="32"/>
          <w:szCs w:val="32"/>
        </w:rPr>
        <w:t>5297.27</w:t>
      </w:r>
      <w:r>
        <w:rPr>
          <w:rFonts w:ascii="仿宋_GB2312" w:eastAsia="仿宋_GB2312" w:cs="DengXian-Regular" w:hint="eastAsia"/>
          <w:sz w:val="32"/>
          <w:szCs w:val="32"/>
        </w:rPr>
        <w:t>万元，占</w:t>
      </w:r>
      <w:r>
        <w:rPr>
          <w:rFonts w:ascii="仿宋_GB2312" w:eastAsia="仿宋_GB2312" w:cs="DengXian-Regular"/>
          <w:sz w:val="32"/>
          <w:szCs w:val="32"/>
        </w:rPr>
        <w:t>78.92</w:t>
      </w:r>
      <w:r>
        <w:rPr>
          <w:rFonts w:ascii="仿宋_GB2312" w:eastAsia="仿宋_GB2312" w:cs="DengXian-Regular" w:hint="eastAsia"/>
          <w:sz w:val="32"/>
          <w:szCs w:val="32"/>
        </w:rPr>
        <w:t>%；农林水（类）支出3</w:t>
      </w:r>
      <w:r>
        <w:rPr>
          <w:rFonts w:ascii="仿宋_GB2312" w:eastAsia="仿宋_GB2312" w:cs="DengXian-Regular"/>
          <w:sz w:val="32"/>
          <w:szCs w:val="32"/>
        </w:rPr>
        <w:t>01.8</w:t>
      </w:r>
      <w:r>
        <w:rPr>
          <w:rFonts w:ascii="仿宋_GB2312" w:eastAsia="仿宋_GB2312" w:cs="DengXian-Regular" w:hint="eastAsia"/>
          <w:sz w:val="32"/>
          <w:szCs w:val="32"/>
        </w:rPr>
        <w:t>万元，占0</w:t>
      </w:r>
      <w:r>
        <w:rPr>
          <w:rFonts w:ascii="仿宋_GB2312" w:eastAsia="仿宋_GB2312" w:cs="DengXian-Regular"/>
          <w:sz w:val="32"/>
          <w:szCs w:val="32"/>
        </w:rPr>
        <w:t>.94</w:t>
      </w:r>
      <w:r>
        <w:rPr>
          <w:rFonts w:ascii="仿宋_GB2312" w:eastAsia="仿宋_GB2312" w:cs="DengXian-Regular" w:hint="eastAsia"/>
          <w:sz w:val="32"/>
          <w:szCs w:val="32"/>
        </w:rPr>
        <w:t>%；住房保障（类）支出</w:t>
      </w:r>
      <w:r>
        <w:rPr>
          <w:rFonts w:ascii="仿宋_GB2312" w:eastAsia="仿宋_GB2312" w:cs="DengXian-Regular"/>
          <w:sz w:val="32"/>
          <w:szCs w:val="32"/>
        </w:rPr>
        <w:t>47.13</w:t>
      </w:r>
      <w:r>
        <w:rPr>
          <w:rFonts w:ascii="仿宋_GB2312" w:eastAsia="仿宋_GB2312" w:cs="DengXian-Regular" w:hint="eastAsia"/>
          <w:sz w:val="32"/>
          <w:szCs w:val="32"/>
        </w:rPr>
        <w:t>万元，占</w:t>
      </w:r>
      <w:r>
        <w:rPr>
          <w:rFonts w:ascii="仿宋_GB2312" w:eastAsia="仿宋_GB2312" w:cs="DengXian-Regular"/>
          <w:sz w:val="32"/>
          <w:szCs w:val="32"/>
        </w:rPr>
        <w:t>0.15</w:t>
      </w:r>
      <w:r>
        <w:rPr>
          <w:rFonts w:ascii="仿宋_GB2312" w:eastAsia="仿宋_GB2312" w:cs="DengXian-Regular" w:hint="eastAsia"/>
          <w:sz w:val="32"/>
          <w:szCs w:val="32"/>
        </w:rPr>
        <w:t>%。</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1075"/>
        <w:gridCol w:w="773"/>
        <w:gridCol w:w="565"/>
        <w:gridCol w:w="705"/>
        <w:gridCol w:w="854"/>
        <w:gridCol w:w="855"/>
        <w:gridCol w:w="850"/>
        <w:gridCol w:w="855"/>
        <w:gridCol w:w="850"/>
        <w:gridCol w:w="709"/>
        <w:gridCol w:w="783"/>
      </w:tblGrid>
      <w:tr w:rsidR="00A90DD5">
        <w:trPr>
          <w:trHeight w:val="286"/>
        </w:trPr>
        <w:tc>
          <w:tcPr>
            <w:tcW w:w="8874" w:type="dxa"/>
            <w:gridSpan w:val="11"/>
            <w:shd w:val="clear" w:color="auto" w:fill="auto"/>
            <w:vAlign w:val="center"/>
          </w:tcPr>
          <w:p w:rsidR="00A90DD5" w:rsidRDefault="00155BB9">
            <w:pPr>
              <w:widowControl/>
              <w:jc w:val="center"/>
              <w:textAlignment w:val="center"/>
              <w:rPr>
                <w:rFonts w:ascii="宋体" w:hAnsi="宋体" w:cs="宋体"/>
                <w:color w:val="000000"/>
                <w:sz w:val="24"/>
              </w:rPr>
            </w:pPr>
            <w:r>
              <w:rPr>
                <w:rFonts w:ascii="宋体" w:hAnsi="宋体" w:cs="宋体" w:hint="eastAsia"/>
                <w:color w:val="000000"/>
                <w:kern w:val="0"/>
                <w:sz w:val="24"/>
              </w:rPr>
              <w:t>表5：财政拨款支出决算结构（按功能分类）</w:t>
            </w:r>
          </w:p>
        </w:tc>
      </w:tr>
      <w:tr w:rsidR="00A90DD5">
        <w:trPr>
          <w:trHeight w:val="286"/>
        </w:trPr>
        <w:tc>
          <w:tcPr>
            <w:tcW w:w="1075" w:type="dxa"/>
            <w:tcBorders>
              <w:top w:val="single" w:sz="4" w:space="0" w:color="000000"/>
              <w:left w:val="single" w:sz="4" w:space="0" w:color="000000"/>
              <w:bottom w:val="single" w:sz="4" w:space="0" w:color="000000"/>
              <w:right w:val="single" w:sz="4" w:space="0" w:color="auto"/>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773" w:type="dxa"/>
            <w:tcBorders>
              <w:top w:val="single" w:sz="4" w:space="0" w:color="000000"/>
              <w:left w:val="single" w:sz="4" w:space="0" w:color="auto"/>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一般公共服务（类）支出</w:t>
            </w:r>
          </w:p>
        </w:tc>
        <w:tc>
          <w:tcPr>
            <w:tcW w:w="565" w:type="dxa"/>
            <w:tcBorders>
              <w:top w:val="single" w:sz="4" w:space="0" w:color="000000"/>
              <w:left w:val="single" w:sz="4" w:space="0" w:color="000000"/>
              <w:bottom w:val="single" w:sz="4" w:space="0" w:color="000000"/>
              <w:right w:val="single" w:sz="4" w:space="0" w:color="auto"/>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sz w:val="20"/>
                <w:szCs w:val="20"/>
              </w:rPr>
              <w:t>教育（类）</w:t>
            </w:r>
          </w:p>
        </w:tc>
        <w:tc>
          <w:tcPr>
            <w:tcW w:w="705" w:type="dxa"/>
            <w:tcBorders>
              <w:top w:val="single" w:sz="4" w:space="0" w:color="000000"/>
              <w:left w:val="single" w:sz="4" w:space="0" w:color="auto"/>
              <w:bottom w:val="single" w:sz="4" w:space="0" w:color="000000"/>
              <w:right w:val="single" w:sz="4" w:space="0" w:color="auto"/>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sz w:val="20"/>
                <w:szCs w:val="20"/>
              </w:rPr>
              <w:t>科学技术（类）支出</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sz w:val="20"/>
                <w:szCs w:val="20"/>
              </w:rPr>
              <w:t>文化旅游体育与传媒（类）支出</w:t>
            </w:r>
          </w:p>
        </w:tc>
        <w:tc>
          <w:tcPr>
            <w:tcW w:w="855" w:type="dxa"/>
            <w:tcBorders>
              <w:top w:val="single" w:sz="4" w:space="0" w:color="000000"/>
              <w:left w:val="single" w:sz="4" w:space="0" w:color="000000"/>
              <w:bottom w:val="single" w:sz="4" w:space="0" w:color="000000"/>
              <w:right w:val="single" w:sz="4" w:space="0" w:color="auto"/>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社会保障和就业（类）支出</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sz w:val="20"/>
                <w:szCs w:val="20"/>
              </w:rPr>
              <w:t>卫生健康（类）支出</w:t>
            </w:r>
          </w:p>
        </w:tc>
        <w:tc>
          <w:tcPr>
            <w:tcW w:w="855" w:type="dxa"/>
            <w:tcBorders>
              <w:top w:val="single" w:sz="4" w:space="0" w:color="000000"/>
              <w:left w:val="single" w:sz="4" w:space="0" w:color="000000"/>
              <w:bottom w:val="single" w:sz="4" w:space="0" w:color="000000"/>
              <w:right w:val="single" w:sz="4" w:space="0" w:color="auto"/>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color w:val="000000"/>
                <w:kern w:val="0"/>
                <w:sz w:val="20"/>
                <w:szCs w:val="20"/>
              </w:rPr>
              <w:t>节能环保</w:t>
            </w:r>
            <w:r>
              <w:rPr>
                <w:rFonts w:ascii="宋体" w:hAnsi="宋体" w:cs="宋体" w:hint="eastAsia"/>
                <w:color w:val="000000"/>
                <w:kern w:val="0"/>
                <w:sz w:val="20"/>
                <w:szCs w:val="20"/>
              </w:rPr>
              <w:t>（类）</w:t>
            </w:r>
            <w:r>
              <w:rPr>
                <w:rFonts w:ascii="宋体" w:hAnsi="宋体" w:cs="宋体"/>
                <w:color w:val="000000"/>
                <w:kern w:val="0"/>
                <w:sz w:val="20"/>
                <w:szCs w:val="20"/>
              </w:rPr>
              <w:t>支出</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sz w:val="20"/>
                <w:szCs w:val="20"/>
              </w:rPr>
              <w:t>城乡社区（类）支出</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农林水（类）支出</w:t>
            </w:r>
          </w:p>
        </w:tc>
        <w:tc>
          <w:tcPr>
            <w:tcW w:w="783" w:type="dxa"/>
            <w:tcBorders>
              <w:top w:val="single" w:sz="4" w:space="0" w:color="000000"/>
              <w:left w:val="single" w:sz="4" w:space="0" w:color="auto"/>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sz w:val="20"/>
                <w:szCs w:val="20"/>
              </w:rPr>
              <w:t>住房保障（类）支出</w:t>
            </w:r>
          </w:p>
        </w:tc>
      </w:tr>
      <w:tr w:rsidR="00A90DD5">
        <w:trPr>
          <w:trHeight w:val="286"/>
        </w:trPr>
        <w:tc>
          <w:tcPr>
            <w:tcW w:w="1075" w:type="dxa"/>
            <w:tcBorders>
              <w:top w:val="single" w:sz="4" w:space="0" w:color="000000"/>
              <w:left w:val="single" w:sz="4" w:space="0" w:color="000000"/>
              <w:bottom w:val="single" w:sz="4" w:space="0" w:color="000000"/>
              <w:right w:val="single" w:sz="4" w:space="0" w:color="auto"/>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金额（万元）</w:t>
            </w:r>
          </w:p>
        </w:tc>
        <w:tc>
          <w:tcPr>
            <w:tcW w:w="773" w:type="dxa"/>
            <w:tcBorders>
              <w:top w:val="single" w:sz="4" w:space="0" w:color="000000"/>
              <w:left w:val="single" w:sz="4" w:space="0" w:color="auto"/>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color w:val="000000"/>
                <w:sz w:val="20"/>
                <w:szCs w:val="20"/>
              </w:rPr>
              <w:t>4358.8</w:t>
            </w:r>
          </w:p>
        </w:tc>
        <w:tc>
          <w:tcPr>
            <w:tcW w:w="565" w:type="dxa"/>
            <w:tcBorders>
              <w:top w:val="single" w:sz="4" w:space="0" w:color="000000"/>
              <w:left w:val="single" w:sz="4" w:space="0" w:color="000000"/>
              <w:bottom w:val="single" w:sz="4" w:space="0" w:color="000000"/>
              <w:right w:val="single" w:sz="4" w:space="0" w:color="auto"/>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color w:val="000000"/>
                <w:sz w:val="20"/>
                <w:szCs w:val="20"/>
              </w:rPr>
              <w:t>53.91</w:t>
            </w:r>
          </w:p>
        </w:tc>
        <w:tc>
          <w:tcPr>
            <w:tcW w:w="705" w:type="dxa"/>
            <w:tcBorders>
              <w:top w:val="single" w:sz="4" w:space="0" w:color="000000"/>
              <w:left w:val="single" w:sz="4" w:space="0" w:color="auto"/>
              <w:bottom w:val="single" w:sz="4" w:space="0" w:color="000000"/>
              <w:right w:val="single" w:sz="4" w:space="0" w:color="auto"/>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color w:val="000000"/>
                <w:sz w:val="20"/>
                <w:szCs w:val="20"/>
              </w:rPr>
              <w:t>74.38</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sz w:val="20"/>
                <w:szCs w:val="20"/>
              </w:rPr>
              <w:t>5</w:t>
            </w:r>
            <w:r>
              <w:rPr>
                <w:rFonts w:ascii="宋体" w:hAnsi="宋体" w:cs="宋体"/>
                <w:color w:val="000000"/>
                <w:sz w:val="20"/>
                <w:szCs w:val="20"/>
              </w:rPr>
              <w:t>67.36</w:t>
            </w:r>
          </w:p>
        </w:tc>
        <w:tc>
          <w:tcPr>
            <w:tcW w:w="855" w:type="dxa"/>
            <w:tcBorders>
              <w:top w:val="single" w:sz="4" w:space="0" w:color="000000"/>
              <w:left w:val="single" w:sz="4" w:space="0" w:color="000000"/>
              <w:bottom w:val="single" w:sz="4" w:space="0" w:color="000000"/>
              <w:right w:val="single" w:sz="4" w:space="0" w:color="auto"/>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color w:val="000000"/>
                <w:sz w:val="20"/>
                <w:szCs w:val="20"/>
              </w:rPr>
              <w:t>130.85</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sz w:val="20"/>
                <w:szCs w:val="20"/>
              </w:rPr>
              <w:t>7</w:t>
            </w:r>
            <w:r>
              <w:rPr>
                <w:rFonts w:ascii="宋体" w:hAnsi="宋体" w:cs="宋体"/>
                <w:color w:val="000000"/>
                <w:sz w:val="20"/>
                <w:szCs w:val="20"/>
              </w:rPr>
              <w:t>3.44</w:t>
            </w:r>
          </w:p>
        </w:tc>
        <w:tc>
          <w:tcPr>
            <w:tcW w:w="855" w:type="dxa"/>
            <w:tcBorders>
              <w:top w:val="single" w:sz="4" w:space="0" w:color="000000"/>
              <w:left w:val="single" w:sz="4" w:space="0" w:color="000000"/>
              <w:bottom w:val="single" w:sz="4" w:space="0" w:color="000000"/>
              <w:right w:val="single" w:sz="4" w:space="0" w:color="auto"/>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sz w:val="20"/>
                <w:szCs w:val="20"/>
              </w:rPr>
              <w:t>1</w:t>
            </w:r>
            <w:r>
              <w:rPr>
                <w:rFonts w:ascii="宋体" w:hAnsi="宋体" w:cs="宋体"/>
                <w:color w:val="000000"/>
                <w:sz w:val="20"/>
                <w:szCs w:val="20"/>
              </w:rPr>
              <w:t>147.32</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sz w:val="20"/>
                <w:szCs w:val="20"/>
              </w:rPr>
              <w:t>2</w:t>
            </w:r>
            <w:r>
              <w:rPr>
                <w:rFonts w:ascii="宋体" w:hAnsi="宋体" w:cs="宋体"/>
                <w:color w:val="000000"/>
                <w:sz w:val="20"/>
                <w:szCs w:val="20"/>
              </w:rPr>
              <w:t>5297.27</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sz w:val="20"/>
                <w:szCs w:val="20"/>
              </w:rPr>
              <w:t>3</w:t>
            </w:r>
            <w:r>
              <w:rPr>
                <w:rFonts w:ascii="宋体" w:hAnsi="宋体" w:cs="宋体"/>
                <w:color w:val="000000"/>
                <w:sz w:val="20"/>
                <w:szCs w:val="20"/>
              </w:rPr>
              <w:t>01.8</w:t>
            </w:r>
          </w:p>
        </w:tc>
        <w:tc>
          <w:tcPr>
            <w:tcW w:w="783" w:type="dxa"/>
            <w:tcBorders>
              <w:top w:val="single" w:sz="4" w:space="0" w:color="000000"/>
              <w:left w:val="single" w:sz="4" w:space="0" w:color="auto"/>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color w:val="000000"/>
                <w:sz w:val="20"/>
                <w:szCs w:val="20"/>
              </w:rPr>
              <w:t>47.13</w:t>
            </w:r>
          </w:p>
        </w:tc>
      </w:tr>
      <w:tr w:rsidR="00A90DD5">
        <w:trPr>
          <w:trHeight w:val="286"/>
        </w:trPr>
        <w:tc>
          <w:tcPr>
            <w:tcW w:w="1075" w:type="dxa"/>
            <w:tcBorders>
              <w:top w:val="single" w:sz="4" w:space="0" w:color="000000"/>
              <w:left w:val="single" w:sz="4" w:space="0" w:color="000000"/>
              <w:bottom w:val="single" w:sz="4" w:space="0" w:color="000000"/>
              <w:right w:val="single" w:sz="4" w:space="0" w:color="auto"/>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773" w:type="dxa"/>
            <w:tcBorders>
              <w:top w:val="single" w:sz="4" w:space="0" w:color="000000"/>
              <w:left w:val="single" w:sz="4" w:space="0" w:color="auto"/>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color w:val="000000"/>
                <w:sz w:val="20"/>
                <w:szCs w:val="20"/>
              </w:rPr>
              <w:t>13.6</w:t>
            </w:r>
          </w:p>
        </w:tc>
        <w:tc>
          <w:tcPr>
            <w:tcW w:w="565" w:type="dxa"/>
            <w:tcBorders>
              <w:top w:val="single" w:sz="4" w:space="0" w:color="000000"/>
              <w:left w:val="single" w:sz="4" w:space="0" w:color="000000"/>
              <w:bottom w:val="single" w:sz="4" w:space="0" w:color="000000"/>
              <w:right w:val="single" w:sz="4" w:space="0" w:color="auto"/>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color w:val="000000"/>
                <w:sz w:val="20"/>
                <w:szCs w:val="20"/>
              </w:rPr>
              <w:t>0.17</w:t>
            </w:r>
          </w:p>
        </w:tc>
        <w:tc>
          <w:tcPr>
            <w:tcW w:w="705" w:type="dxa"/>
            <w:tcBorders>
              <w:top w:val="single" w:sz="4" w:space="0" w:color="000000"/>
              <w:left w:val="single" w:sz="4" w:space="0" w:color="auto"/>
              <w:bottom w:val="single" w:sz="4" w:space="0" w:color="000000"/>
              <w:right w:val="single" w:sz="4" w:space="0" w:color="auto"/>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color w:val="000000"/>
                <w:sz w:val="20"/>
                <w:szCs w:val="20"/>
              </w:rPr>
              <w:t>0.23</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sz w:val="20"/>
                <w:szCs w:val="20"/>
              </w:rPr>
              <w:t>1</w:t>
            </w:r>
            <w:r>
              <w:rPr>
                <w:rFonts w:ascii="宋体" w:hAnsi="宋体" w:cs="宋体"/>
                <w:color w:val="000000"/>
                <w:sz w:val="20"/>
                <w:szCs w:val="20"/>
              </w:rPr>
              <w:t>.77</w:t>
            </w:r>
          </w:p>
        </w:tc>
        <w:tc>
          <w:tcPr>
            <w:tcW w:w="855" w:type="dxa"/>
            <w:tcBorders>
              <w:top w:val="single" w:sz="4" w:space="0" w:color="000000"/>
              <w:left w:val="single" w:sz="4" w:space="0" w:color="000000"/>
              <w:bottom w:val="single" w:sz="4" w:space="0" w:color="000000"/>
              <w:right w:val="single" w:sz="4" w:space="0" w:color="auto"/>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color w:val="000000"/>
                <w:sz w:val="20"/>
                <w:szCs w:val="20"/>
              </w:rPr>
              <w:t>0.41</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sz w:val="20"/>
                <w:szCs w:val="20"/>
              </w:rPr>
              <w:t>0</w:t>
            </w:r>
            <w:r>
              <w:rPr>
                <w:rFonts w:ascii="宋体" w:hAnsi="宋体" w:cs="宋体"/>
                <w:color w:val="000000"/>
                <w:sz w:val="20"/>
                <w:szCs w:val="20"/>
              </w:rPr>
              <w:t>.23</w:t>
            </w:r>
          </w:p>
        </w:tc>
        <w:tc>
          <w:tcPr>
            <w:tcW w:w="855" w:type="dxa"/>
            <w:tcBorders>
              <w:top w:val="single" w:sz="4" w:space="0" w:color="000000"/>
              <w:left w:val="single" w:sz="4" w:space="0" w:color="000000"/>
              <w:bottom w:val="single" w:sz="4" w:space="0" w:color="000000"/>
              <w:right w:val="single" w:sz="4" w:space="0" w:color="auto"/>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sz w:val="20"/>
                <w:szCs w:val="20"/>
              </w:rPr>
              <w:t>3</w:t>
            </w:r>
            <w:r>
              <w:rPr>
                <w:rFonts w:ascii="宋体" w:hAnsi="宋体" w:cs="宋体"/>
                <w:color w:val="000000"/>
                <w:sz w:val="20"/>
                <w:szCs w:val="20"/>
              </w:rPr>
              <w:t>.58</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color w:val="000000"/>
                <w:sz w:val="20"/>
                <w:szCs w:val="20"/>
              </w:rPr>
              <w:t>78.92</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hint="eastAsia"/>
                <w:color w:val="000000"/>
                <w:sz w:val="20"/>
                <w:szCs w:val="20"/>
              </w:rPr>
              <w:t>0</w:t>
            </w:r>
            <w:r>
              <w:rPr>
                <w:rFonts w:ascii="宋体" w:hAnsi="宋体" w:cs="宋体"/>
                <w:color w:val="000000"/>
                <w:sz w:val="20"/>
                <w:szCs w:val="20"/>
              </w:rPr>
              <w:t>.94</w:t>
            </w:r>
          </w:p>
        </w:tc>
        <w:tc>
          <w:tcPr>
            <w:tcW w:w="783" w:type="dxa"/>
            <w:tcBorders>
              <w:top w:val="single" w:sz="4" w:space="0" w:color="000000"/>
              <w:left w:val="single" w:sz="4" w:space="0" w:color="auto"/>
              <w:bottom w:val="single" w:sz="4" w:space="0" w:color="000000"/>
              <w:right w:val="single" w:sz="4" w:space="0" w:color="000000"/>
            </w:tcBorders>
            <w:shd w:val="clear" w:color="auto" w:fill="auto"/>
            <w:vAlign w:val="center"/>
          </w:tcPr>
          <w:p w:rsidR="00A90DD5" w:rsidRDefault="00155BB9">
            <w:pPr>
              <w:widowControl/>
              <w:jc w:val="center"/>
              <w:textAlignment w:val="center"/>
              <w:rPr>
                <w:rFonts w:ascii="宋体" w:hAnsi="宋体" w:cs="宋体"/>
                <w:color w:val="000000"/>
                <w:sz w:val="20"/>
                <w:szCs w:val="20"/>
              </w:rPr>
            </w:pPr>
            <w:r>
              <w:rPr>
                <w:rFonts w:ascii="宋体" w:hAnsi="宋体" w:cs="宋体"/>
                <w:color w:val="000000"/>
                <w:sz w:val="20"/>
                <w:szCs w:val="20"/>
              </w:rPr>
              <w:t>0.15</w:t>
            </w:r>
          </w:p>
        </w:tc>
      </w:tr>
    </w:tbl>
    <w:p w:rsidR="00A90DD5" w:rsidRDefault="00155BB9">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（四）一般公共预算基本支出决算情况说明</w:t>
      </w:r>
    </w:p>
    <w:p w:rsidR="00A90DD5" w:rsidRDefault="00155BB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2019年度财政拨款基本支出</w:t>
      </w:r>
      <w:r>
        <w:rPr>
          <w:rFonts w:ascii="仿宋_GB2312" w:eastAsia="仿宋_GB2312" w:cs="DengXian-Regular"/>
          <w:sz w:val="32"/>
          <w:szCs w:val="32"/>
        </w:rPr>
        <w:t>5051.13</w:t>
      </w:r>
      <w:r>
        <w:rPr>
          <w:rFonts w:ascii="仿宋_GB2312" w:eastAsia="仿宋_GB2312" w:cs="DengXian-Regular" w:hint="eastAsia"/>
          <w:sz w:val="32"/>
          <w:szCs w:val="32"/>
        </w:rPr>
        <w:t xml:space="preserve">万元，其中：人员经费 </w:t>
      </w:r>
      <w:r>
        <w:rPr>
          <w:rFonts w:ascii="仿宋_GB2312" w:eastAsia="仿宋_GB2312" w:cs="DengXian-Regular"/>
          <w:sz w:val="32"/>
          <w:szCs w:val="32"/>
        </w:rPr>
        <w:t>4730.66</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eastAsia="仿宋_GB2312" w:cs="DengXian-Regular"/>
          <w:sz w:val="32"/>
          <w:szCs w:val="32"/>
        </w:rPr>
        <w:t>320.47</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A90DD5" w:rsidRDefault="00155BB9">
      <w:pPr>
        <w:pStyle w:val="2"/>
        <w:spacing w:before="0" w:after="0" w:line="580" w:lineRule="exact"/>
        <w:ind w:firstLineChars="200" w:firstLine="640"/>
        <w:rPr>
          <w:rFonts w:ascii="黑体" w:eastAsia="黑体"/>
          <w:b w:val="0"/>
          <w:bCs w:val="0"/>
          <w:color w:val="FF0000"/>
        </w:rPr>
      </w:pPr>
      <w:r>
        <w:rPr>
          <w:rFonts w:ascii="黑体" w:eastAsia="黑体" w:hint="eastAsia"/>
          <w:b w:val="0"/>
          <w:bCs w:val="0"/>
        </w:rPr>
        <w:t>五、一般公共预算 “三公” 经费支出决算情况说明</w:t>
      </w:r>
    </w:p>
    <w:p w:rsidR="00A90DD5" w:rsidRDefault="00155BB9">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sz w:val="32"/>
          <w:szCs w:val="32"/>
        </w:rPr>
        <w:t>201</w:t>
      </w:r>
      <w:r>
        <w:rPr>
          <w:rFonts w:eastAsia="仿宋_GB2312" w:hint="eastAsia"/>
          <w:sz w:val="32"/>
          <w:szCs w:val="32"/>
        </w:rPr>
        <w:t>9</w:t>
      </w:r>
      <w:r>
        <w:rPr>
          <w:rFonts w:eastAsia="仿宋_GB2312"/>
          <w:sz w:val="32"/>
          <w:szCs w:val="32"/>
        </w:rPr>
        <w:t>年度</w:t>
      </w:r>
      <w:r>
        <w:rPr>
          <w:rFonts w:eastAsia="仿宋_GB2312"/>
          <w:sz w:val="32"/>
          <w:szCs w:val="32"/>
        </w:rPr>
        <w:t xml:space="preserve"> “</w:t>
      </w:r>
      <w:r>
        <w:rPr>
          <w:rFonts w:eastAsia="仿宋_GB2312"/>
          <w:sz w:val="32"/>
          <w:szCs w:val="32"/>
        </w:rPr>
        <w:t>三公</w:t>
      </w:r>
      <w:r>
        <w:rPr>
          <w:rFonts w:eastAsia="仿宋_GB2312"/>
          <w:sz w:val="32"/>
          <w:szCs w:val="32"/>
        </w:rPr>
        <w:t>”</w:t>
      </w:r>
      <w:r>
        <w:rPr>
          <w:rFonts w:eastAsia="仿宋_GB2312"/>
          <w:sz w:val="32"/>
          <w:szCs w:val="32"/>
        </w:rPr>
        <w:t>经费支出共计</w:t>
      </w:r>
      <w:r>
        <w:rPr>
          <w:rFonts w:eastAsia="仿宋_GB2312"/>
          <w:sz w:val="32"/>
          <w:szCs w:val="32"/>
        </w:rPr>
        <w:t>9.67</w:t>
      </w:r>
      <w:r>
        <w:rPr>
          <w:rFonts w:eastAsia="仿宋_GB2312"/>
          <w:sz w:val="32"/>
          <w:szCs w:val="32"/>
        </w:rPr>
        <w:t>万元，</w:t>
      </w:r>
      <w:r>
        <w:rPr>
          <w:rFonts w:eastAsia="仿宋_GB2312" w:hint="eastAsia"/>
          <w:sz w:val="32"/>
          <w:szCs w:val="32"/>
        </w:rPr>
        <w:t>完成预算的</w:t>
      </w:r>
      <w:r>
        <w:rPr>
          <w:rFonts w:eastAsia="仿宋_GB2312"/>
          <w:sz w:val="32"/>
          <w:szCs w:val="32"/>
        </w:rPr>
        <w:t>46.78%</w:t>
      </w:r>
      <w:r>
        <w:rPr>
          <w:rFonts w:eastAsia="仿宋_GB2312" w:hint="eastAsia"/>
          <w:sz w:val="32"/>
          <w:szCs w:val="32"/>
        </w:rPr>
        <w:t>，较</w:t>
      </w:r>
      <w:r>
        <w:rPr>
          <w:rFonts w:eastAsia="仿宋_GB2312"/>
          <w:sz w:val="32"/>
          <w:szCs w:val="32"/>
        </w:rPr>
        <w:t>预算减少</w:t>
      </w:r>
      <w:r>
        <w:rPr>
          <w:rFonts w:eastAsia="仿宋_GB2312"/>
          <w:sz w:val="32"/>
          <w:szCs w:val="32"/>
        </w:rPr>
        <w:t>11</w:t>
      </w:r>
      <w:r>
        <w:rPr>
          <w:rFonts w:eastAsia="仿宋_GB2312"/>
          <w:sz w:val="32"/>
          <w:szCs w:val="32"/>
        </w:rPr>
        <w:t>万元，降低</w:t>
      </w:r>
      <w:r>
        <w:rPr>
          <w:rFonts w:eastAsia="仿宋_GB2312"/>
          <w:sz w:val="32"/>
          <w:szCs w:val="32"/>
        </w:rPr>
        <w:t>53.22</w:t>
      </w:r>
      <w:r>
        <w:rPr>
          <w:rFonts w:ascii="仿宋_GB2312" w:eastAsia="仿宋_GB2312" w:cs="DengXian-Regular" w:hint="eastAsia"/>
          <w:sz w:val="32"/>
          <w:szCs w:val="32"/>
        </w:rPr>
        <w:t>%</w:t>
      </w:r>
      <w:r>
        <w:rPr>
          <w:rFonts w:eastAsia="仿宋_GB2312"/>
          <w:sz w:val="32"/>
          <w:szCs w:val="32"/>
        </w:rPr>
        <w:t>，主要是</w:t>
      </w:r>
      <w:r>
        <w:rPr>
          <w:rFonts w:eastAsia="仿宋_GB2312" w:hint="eastAsia"/>
          <w:sz w:val="32"/>
          <w:szCs w:val="32"/>
        </w:rPr>
        <w:t>厉行节俭，严格控制公务用车和接待标准</w:t>
      </w:r>
      <w:r>
        <w:rPr>
          <w:rFonts w:eastAsia="仿宋_GB2312"/>
          <w:sz w:val="32"/>
          <w:szCs w:val="32"/>
        </w:rPr>
        <w:t>；</w:t>
      </w:r>
      <w:r>
        <w:rPr>
          <w:rFonts w:eastAsia="仿宋_GB2312" w:hint="eastAsia"/>
          <w:sz w:val="32"/>
          <w:szCs w:val="32"/>
        </w:rPr>
        <w:t>较</w:t>
      </w:r>
      <w:r>
        <w:rPr>
          <w:rFonts w:eastAsia="仿宋_GB2312"/>
          <w:sz w:val="32"/>
          <w:szCs w:val="32"/>
        </w:rPr>
        <w:t>201</w:t>
      </w:r>
      <w:r>
        <w:rPr>
          <w:rFonts w:eastAsia="仿宋_GB2312" w:hint="eastAsia"/>
          <w:sz w:val="32"/>
          <w:szCs w:val="32"/>
        </w:rPr>
        <w:t>8</w:t>
      </w:r>
      <w:r>
        <w:rPr>
          <w:rFonts w:eastAsia="仿宋_GB2312"/>
          <w:sz w:val="32"/>
          <w:szCs w:val="32"/>
        </w:rPr>
        <w:t>年度增加</w:t>
      </w:r>
      <w:r>
        <w:rPr>
          <w:rFonts w:eastAsia="仿宋_GB2312" w:hint="eastAsia"/>
          <w:sz w:val="32"/>
          <w:szCs w:val="32"/>
        </w:rPr>
        <w:t>4</w:t>
      </w:r>
      <w:r>
        <w:rPr>
          <w:rFonts w:eastAsia="仿宋_GB2312"/>
          <w:sz w:val="32"/>
          <w:szCs w:val="32"/>
        </w:rPr>
        <w:t>.29</w:t>
      </w:r>
      <w:r>
        <w:rPr>
          <w:rFonts w:eastAsia="仿宋_GB2312"/>
          <w:sz w:val="32"/>
          <w:szCs w:val="32"/>
        </w:rPr>
        <w:t>万元，</w:t>
      </w:r>
      <w:r>
        <w:rPr>
          <w:rFonts w:eastAsia="仿宋_GB2312"/>
          <w:sz w:val="32"/>
          <w:szCs w:val="32"/>
        </w:rPr>
        <w:lastRenderedPageBreak/>
        <w:t>增长</w:t>
      </w:r>
      <w:r>
        <w:rPr>
          <w:rFonts w:eastAsia="仿宋_GB2312" w:hint="eastAsia"/>
          <w:sz w:val="32"/>
          <w:szCs w:val="32"/>
        </w:rPr>
        <w:t>7</w:t>
      </w:r>
      <w:r>
        <w:rPr>
          <w:rFonts w:eastAsia="仿宋_GB2312"/>
          <w:sz w:val="32"/>
          <w:szCs w:val="32"/>
        </w:rPr>
        <w:t>9.74</w:t>
      </w:r>
      <w:r>
        <w:rPr>
          <w:rFonts w:ascii="仿宋_GB2312" w:eastAsia="仿宋_GB2312" w:cs="DengXian-Regular" w:hint="eastAsia"/>
          <w:sz w:val="32"/>
          <w:szCs w:val="32"/>
        </w:rPr>
        <w:t>%</w:t>
      </w:r>
      <w:r>
        <w:rPr>
          <w:rFonts w:eastAsia="仿宋_GB2312"/>
          <w:sz w:val="32"/>
          <w:szCs w:val="32"/>
        </w:rPr>
        <w:t>，主要是</w:t>
      </w:r>
      <w:r>
        <w:rPr>
          <w:rFonts w:ascii="仿宋_GB2312" w:eastAsia="仿宋_GB2312" w:cs="DengXian-Regular"/>
          <w:sz w:val="32"/>
          <w:szCs w:val="32"/>
        </w:rPr>
        <w:t>2019</w:t>
      </w:r>
      <w:r>
        <w:rPr>
          <w:rFonts w:ascii="仿宋_GB2312" w:eastAsia="仿宋_GB2312" w:cs="DengXian-Regular" w:hint="eastAsia"/>
          <w:sz w:val="32"/>
          <w:szCs w:val="32"/>
        </w:rPr>
        <w:t>年我镇实行了机构改革，胜芳建设局并入我镇，增加了工作任务，公务用车使用频率增加</w:t>
      </w:r>
      <w:r>
        <w:rPr>
          <w:rFonts w:eastAsia="仿宋_GB2312"/>
          <w:sz w:val="32"/>
          <w:szCs w:val="32"/>
        </w:rPr>
        <w:t>。具体情况如下：</w:t>
      </w:r>
    </w:p>
    <w:p w:rsidR="00A90DD5" w:rsidRDefault="00155BB9">
      <w:pPr>
        <w:adjustRightInd w:val="0"/>
        <w:snapToGrid w:val="0"/>
        <w:spacing w:line="584" w:lineRule="exact"/>
        <w:ind w:firstLineChars="200" w:firstLine="641"/>
        <w:rPr>
          <w:rFonts w:ascii="仿宋_GB2312" w:eastAsia="仿宋_GB2312" w:cs="DengXian-Regular"/>
          <w:sz w:val="32"/>
          <w:szCs w:val="32"/>
        </w:rPr>
      </w:pPr>
      <w:r>
        <w:rPr>
          <w:rFonts w:eastAsia="楷体_GB2312"/>
          <w:b/>
          <w:bCs/>
          <w:sz w:val="32"/>
          <w:szCs w:val="32"/>
        </w:rPr>
        <w:t>（一）因公出国（境）费支出</w:t>
      </w:r>
      <w:r>
        <w:rPr>
          <w:rFonts w:eastAsia="楷体_GB2312"/>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9</w:t>
      </w:r>
      <w:r>
        <w:rPr>
          <w:rFonts w:eastAsia="仿宋_GB2312"/>
          <w:sz w:val="32"/>
          <w:szCs w:val="32"/>
        </w:rPr>
        <w:t>年度</w:t>
      </w:r>
      <w:r>
        <w:rPr>
          <w:rFonts w:ascii="仿宋_GB2312" w:eastAsia="仿宋_GB2312" w:cs="DengXian-Regular" w:hint="eastAsia"/>
          <w:sz w:val="32"/>
          <w:szCs w:val="32"/>
        </w:rPr>
        <w:t>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人/参加其他单位组织的因公出国（境）团组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人/无本单位组织的出国（境）团组。因公出国（境）费支出与年初预算持平；与201</w:t>
      </w:r>
      <w:r>
        <w:rPr>
          <w:rFonts w:ascii="仿宋_GB2312" w:eastAsia="仿宋_GB2312" w:cs="DengXian-Regular"/>
          <w:sz w:val="32"/>
          <w:szCs w:val="32"/>
        </w:rPr>
        <w:t>8</w:t>
      </w:r>
      <w:r>
        <w:rPr>
          <w:rFonts w:ascii="仿宋_GB2312" w:eastAsia="仿宋_GB2312" w:cs="DengXian-Regular" w:hint="eastAsia"/>
          <w:sz w:val="32"/>
          <w:szCs w:val="32"/>
        </w:rPr>
        <w:t>年度决算支出持平。</w:t>
      </w:r>
    </w:p>
    <w:p w:rsidR="00A90DD5" w:rsidRDefault="00155BB9">
      <w:pPr>
        <w:adjustRightInd w:val="0"/>
        <w:snapToGrid w:val="0"/>
        <w:spacing w:line="584" w:lineRule="exact"/>
        <w:ind w:firstLineChars="200" w:firstLine="643"/>
        <w:rPr>
          <w:rFonts w:eastAsia="仿宋_GB2312"/>
          <w:sz w:val="32"/>
          <w:szCs w:val="32"/>
        </w:rPr>
      </w:pPr>
      <w:r>
        <w:rPr>
          <w:rFonts w:eastAsia="仿宋_GB2312"/>
          <w:b/>
          <w:sz w:val="32"/>
          <w:szCs w:val="32"/>
        </w:rPr>
        <w:t>（二）公务用车购置及运行维护费支出</w:t>
      </w:r>
      <w:r>
        <w:rPr>
          <w:rFonts w:eastAsia="仿宋_GB2312"/>
          <w:b/>
          <w:sz w:val="32"/>
          <w:szCs w:val="32"/>
        </w:rPr>
        <w:t>9.67</w:t>
      </w:r>
      <w:r>
        <w:rPr>
          <w:rFonts w:eastAsia="仿宋_GB2312"/>
          <w:b/>
          <w:sz w:val="32"/>
          <w:szCs w:val="32"/>
        </w:rPr>
        <w:t>万元。</w:t>
      </w:r>
      <w:r>
        <w:rPr>
          <w:rFonts w:eastAsia="仿宋_GB2312" w:hint="eastAsia"/>
          <w:sz w:val="32"/>
          <w:szCs w:val="32"/>
        </w:rPr>
        <w:t>本部门</w:t>
      </w:r>
      <w:r>
        <w:rPr>
          <w:rFonts w:eastAsia="仿宋_GB2312" w:hint="eastAsia"/>
          <w:sz w:val="32"/>
          <w:szCs w:val="32"/>
        </w:rPr>
        <w:t>2019</w:t>
      </w:r>
      <w:r>
        <w:rPr>
          <w:rFonts w:eastAsia="仿宋_GB2312" w:hint="eastAsia"/>
          <w:sz w:val="32"/>
          <w:szCs w:val="32"/>
        </w:rPr>
        <w:t>年度公务用车购置及运行维护费较预算</w:t>
      </w:r>
      <w:r>
        <w:rPr>
          <w:rFonts w:eastAsia="仿宋_GB2312"/>
          <w:sz w:val="32"/>
          <w:szCs w:val="32"/>
        </w:rPr>
        <w:t>减少</w:t>
      </w:r>
      <w:r>
        <w:rPr>
          <w:rFonts w:eastAsia="仿宋_GB2312"/>
          <w:sz w:val="32"/>
          <w:szCs w:val="32"/>
        </w:rPr>
        <w:t>7.83</w:t>
      </w:r>
      <w:r>
        <w:rPr>
          <w:rFonts w:eastAsia="仿宋_GB2312"/>
          <w:sz w:val="32"/>
          <w:szCs w:val="32"/>
        </w:rPr>
        <w:t>万元</w:t>
      </w:r>
      <w:r>
        <w:rPr>
          <w:rFonts w:eastAsia="仿宋_GB2312" w:hint="eastAsia"/>
          <w:sz w:val="32"/>
          <w:szCs w:val="32"/>
        </w:rPr>
        <w:t>，</w:t>
      </w:r>
      <w:r>
        <w:rPr>
          <w:rFonts w:eastAsia="仿宋_GB2312"/>
          <w:sz w:val="32"/>
          <w:szCs w:val="32"/>
        </w:rPr>
        <w:t>降低</w:t>
      </w:r>
      <w:r>
        <w:rPr>
          <w:rFonts w:eastAsia="仿宋_GB2312"/>
          <w:sz w:val="32"/>
          <w:szCs w:val="32"/>
        </w:rPr>
        <w:t>44.74</w:t>
      </w:r>
      <w:r>
        <w:rPr>
          <w:rFonts w:ascii="仿宋_GB2312" w:eastAsia="仿宋_GB2312" w:cs="DengXian-Regular" w:hint="eastAsia"/>
          <w:sz w:val="32"/>
          <w:szCs w:val="32"/>
        </w:rPr>
        <w:t>%</w:t>
      </w:r>
      <w:r>
        <w:rPr>
          <w:rFonts w:eastAsia="仿宋_GB2312" w:hint="eastAsia"/>
          <w:sz w:val="32"/>
          <w:szCs w:val="32"/>
        </w:rPr>
        <w:t>,</w:t>
      </w:r>
      <w:r>
        <w:rPr>
          <w:rFonts w:eastAsia="仿宋_GB2312" w:hint="eastAsia"/>
          <w:sz w:val="32"/>
          <w:szCs w:val="32"/>
        </w:rPr>
        <w:t>主要是严格控制公务用车的使用；较上年增加</w:t>
      </w:r>
      <w:r>
        <w:rPr>
          <w:rFonts w:eastAsia="仿宋_GB2312"/>
          <w:sz w:val="32"/>
          <w:szCs w:val="32"/>
        </w:rPr>
        <w:t>4.29</w:t>
      </w:r>
      <w:r>
        <w:rPr>
          <w:rFonts w:eastAsia="仿宋_GB2312"/>
          <w:sz w:val="32"/>
          <w:szCs w:val="32"/>
        </w:rPr>
        <w:t>万元，</w:t>
      </w:r>
      <w:r>
        <w:rPr>
          <w:rFonts w:eastAsia="仿宋_GB2312" w:hint="eastAsia"/>
          <w:sz w:val="32"/>
          <w:szCs w:val="32"/>
        </w:rPr>
        <w:t>增长</w:t>
      </w:r>
      <w:r>
        <w:rPr>
          <w:rFonts w:eastAsia="仿宋_GB2312"/>
          <w:sz w:val="32"/>
          <w:szCs w:val="32"/>
        </w:rPr>
        <w:t>79.74</w:t>
      </w:r>
      <w:r>
        <w:rPr>
          <w:rFonts w:ascii="仿宋_GB2312" w:eastAsia="仿宋_GB2312" w:cs="DengXian-Regular" w:hint="eastAsia"/>
          <w:sz w:val="32"/>
          <w:szCs w:val="32"/>
        </w:rPr>
        <w:t>%</w:t>
      </w:r>
      <w:r>
        <w:rPr>
          <w:rFonts w:eastAsia="仿宋_GB2312"/>
          <w:sz w:val="32"/>
          <w:szCs w:val="32"/>
        </w:rPr>
        <w:t>，主要是</w:t>
      </w:r>
      <w:r>
        <w:rPr>
          <w:rFonts w:ascii="仿宋_GB2312" w:eastAsia="仿宋_GB2312" w:cs="DengXian-Regular"/>
          <w:sz w:val="32"/>
          <w:szCs w:val="32"/>
        </w:rPr>
        <w:t>2019</w:t>
      </w:r>
      <w:r>
        <w:rPr>
          <w:rFonts w:ascii="仿宋_GB2312" w:eastAsia="仿宋_GB2312" w:cs="DengXian-Regular" w:hint="eastAsia"/>
          <w:sz w:val="32"/>
          <w:szCs w:val="32"/>
        </w:rPr>
        <w:t>年我镇实行了机构改革，胜芳建设局并入我镇，增加了工作任务，公务用车使用频率增加</w:t>
      </w:r>
      <w:r>
        <w:rPr>
          <w:rFonts w:eastAsia="仿宋_GB2312"/>
          <w:sz w:val="32"/>
          <w:szCs w:val="32"/>
        </w:rPr>
        <w:t>。其中：</w:t>
      </w:r>
    </w:p>
    <w:p w:rsidR="00A90DD5" w:rsidRDefault="00155BB9">
      <w:pPr>
        <w:adjustRightInd w:val="0"/>
        <w:snapToGrid w:val="0"/>
        <w:spacing w:line="584" w:lineRule="exact"/>
        <w:ind w:firstLineChars="200" w:firstLine="643"/>
        <w:rPr>
          <w:rFonts w:ascii="仿宋_GB2312" w:eastAsia="仿宋_GB2312" w:cs="DengXian-Regular"/>
          <w:sz w:val="32"/>
          <w:szCs w:val="32"/>
        </w:rPr>
      </w:pPr>
      <w:r>
        <w:rPr>
          <w:rFonts w:eastAsia="仿宋_GB2312"/>
          <w:b/>
          <w:sz w:val="32"/>
          <w:szCs w:val="32"/>
        </w:rPr>
        <w:t>公务用车购置费</w:t>
      </w:r>
      <w:r>
        <w:rPr>
          <w:rFonts w:eastAsia="仿宋_GB2312" w:hint="eastAsia"/>
          <w:b/>
          <w:sz w:val="32"/>
          <w:szCs w:val="32"/>
        </w:rPr>
        <w:t>：</w:t>
      </w:r>
      <w:r>
        <w:rPr>
          <w:rFonts w:eastAsia="仿宋_GB2312"/>
          <w:sz w:val="32"/>
          <w:szCs w:val="32"/>
        </w:rPr>
        <w:t>本部门</w:t>
      </w:r>
      <w:r>
        <w:rPr>
          <w:rFonts w:eastAsia="仿宋_GB2312"/>
          <w:sz w:val="32"/>
          <w:szCs w:val="32"/>
        </w:rPr>
        <w:t>201</w:t>
      </w:r>
      <w:r>
        <w:rPr>
          <w:rFonts w:eastAsia="仿宋_GB2312" w:hint="eastAsia"/>
          <w:sz w:val="32"/>
          <w:szCs w:val="32"/>
        </w:rPr>
        <w:t>9</w:t>
      </w:r>
      <w:r>
        <w:rPr>
          <w:rFonts w:eastAsia="仿宋_GB2312"/>
          <w:sz w:val="32"/>
          <w:szCs w:val="32"/>
        </w:rPr>
        <w:t>年度公务用车购置量</w:t>
      </w:r>
      <w:r>
        <w:rPr>
          <w:rFonts w:eastAsia="仿宋_GB2312"/>
          <w:sz w:val="32"/>
          <w:szCs w:val="32"/>
        </w:rPr>
        <w:t>0</w:t>
      </w:r>
      <w:r>
        <w:rPr>
          <w:rFonts w:eastAsia="仿宋_GB2312"/>
          <w:sz w:val="32"/>
          <w:szCs w:val="32"/>
        </w:rPr>
        <w:t>辆</w:t>
      </w:r>
      <w:r>
        <w:rPr>
          <w:rFonts w:eastAsia="仿宋_GB2312" w:hint="eastAsia"/>
          <w:sz w:val="32"/>
          <w:szCs w:val="32"/>
        </w:rPr>
        <w:t>，发生“</w:t>
      </w:r>
      <w:r>
        <w:rPr>
          <w:rFonts w:eastAsia="仿宋_GB2312"/>
          <w:sz w:val="32"/>
          <w:szCs w:val="32"/>
        </w:rPr>
        <w:t>公务用车购置</w:t>
      </w:r>
      <w:r>
        <w:rPr>
          <w:rFonts w:eastAsia="仿宋_GB2312" w:hint="eastAsia"/>
          <w:sz w:val="32"/>
          <w:szCs w:val="32"/>
        </w:rPr>
        <w:t>”经费</w:t>
      </w:r>
      <w:r>
        <w:rPr>
          <w:rFonts w:eastAsia="仿宋_GB2312"/>
          <w:sz w:val="32"/>
          <w:szCs w:val="32"/>
        </w:rPr>
        <w:t>支出</w:t>
      </w:r>
      <w:r>
        <w:rPr>
          <w:rFonts w:eastAsia="仿宋_GB2312"/>
          <w:sz w:val="32"/>
          <w:szCs w:val="32"/>
        </w:rPr>
        <w:t>0</w:t>
      </w:r>
      <w:r>
        <w:rPr>
          <w:rFonts w:eastAsia="仿宋_GB2312"/>
          <w:sz w:val="32"/>
          <w:szCs w:val="32"/>
        </w:rPr>
        <w:t>万元</w:t>
      </w:r>
      <w:r>
        <w:rPr>
          <w:rFonts w:eastAsia="仿宋_GB2312" w:hint="eastAsia"/>
          <w:sz w:val="32"/>
          <w:szCs w:val="32"/>
        </w:rPr>
        <w:t>。</w:t>
      </w:r>
      <w:r>
        <w:rPr>
          <w:rFonts w:ascii="仿宋_GB2312" w:eastAsia="仿宋_GB2312" w:cs="DengXian-Regular" w:hint="eastAsia"/>
          <w:sz w:val="32"/>
          <w:szCs w:val="32"/>
        </w:rPr>
        <w:t>公务用车购置费支出与年初预算持平；与201</w:t>
      </w:r>
      <w:r>
        <w:rPr>
          <w:rFonts w:ascii="仿宋_GB2312" w:eastAsia="仿宋_GB2312" w:cs="DengXian-Regular"/>
          <w:sz w:val="32"/>
          <w:szCs w:val="32"/>
        </w:rPr>
        <w:t>8</w:t>
      </w:r>
      <w:r>
        <w:rPr>
          <w:rFonts w:ascii="仿宋_GB2312" w:eastAsia="仿宋_GB2312" w:cs="DengXian-Regular" w:hint="eastAsia"/>
          <w:sz w:val="32"/>
          <w:szCs w:val="32"/>
        </w:rPr>
        <w:t>年度决算支出持平；未发生“公务用车购置”经费支出。</w:t>
      </w:r>
    </w:p>
    <w:p w:rsidR="00A90DD5" w:rsidRDefault="00155BB9">
      <w:pPr>
        <w:adjustRightInd w:val="0"/>
        <w:snapToGrid w:val="0"/>
        <w:spacing w:line="580" w:lineRule="exact"/>
        <w:ind w:firstLineChars="200" w:firstLine="643"/>
        <w:rPr>
          <w:rFonts w:ascii="仿宋_GB2312" w:eastAsia="仿宋_GB2312" w:cs="DengXian-Regular"/>
          <w:sz w:val="32"/>
          <w:szCs w:val="32"/>
        </w:rPr>
      </w:pPr>
      <w:r>
        <w:rPr>
          <w:rFonts w:ascii="仿宋_GB2312" w:eastAsia="仿宋_GB2312" w:cs="DengXian-Regular" w:hint="eastAsia"/>
          <w:b/>
          <w:sz w:val="32"/>
          <w:szCs w:val="32"/>
        </w:rPr>
        <w:t>公务用车运行维护费：</w:t>
      </w:r>
      <w:r>
        <w:rPr>
          <w:rFonts w:ascii="仿宋_GB2312" w:eastAsia="仿宋_GB2312" w:cs="DengXian-Regular" w:hint="eastAsia"/>
          <w:sz w:val="32"/>
          <w:szCs w:val="32"/>
        </w:rPr>
        <w:t>本部门2019年度单位公务用车保有量</w:t>
      </w:r>
      <w:r>
        <w:rPr>
          <w:rFonts w:ascii="仿宋_GB2312" w:eastAsia="仿宋_GB2312" w:cs="DengXian-Regular"/>
          <w:sz w:val="32"/>
          <w:szCs w:val="32"/>
        </w:rPr>
        <w:t>54</w:t>
      </w:r>
      <w:r>
        <w:rPr>
          <w:rFonts w:ascii="仿宋_GB2312" w:eastAsia="仿宋_GB2312" w:cs="DengXian-Regular" w:hint="eastAsia"/>
          <w:sz w:val="32"/>
          <w:szCs w:val="32"/>
        </w:rPr>
        <w:t>辆。公车运行维护费支出较预算减少7</w:t>
      </w:r>
      <w:r>
        <w:rPr>
          <w:rFonts w:ascii="仿宋_GB2312" w:eastAsia="仿宋_GB2312" w:cs="DengXian-Regular"/>
          <w:sz w:val="32"/>
          <w:szCs w:val="32"/>
        </w:rPr>
        <w:t>.83</w:t>
      </w:r>
      <w:r>
        <w:rPr>
          <w:rFonts w:ascii="仿宋_GB2312" w:eastAsia="仿宋_GB2312" w:cs="DengXian-Regular" w:hint="eastAsia"/>
          <w:sz w:val="32"/>
          <w:szCs w:val="32"/>
        </w:rPr>
        <w:t>万元，降低4</w:t>
      </w:r>
      <w:r>
        <w:rPr>
          <w:rFonts w:ascii="仿宋_GB2312" w:eastAsia="仿宋_GB2312" w:cs="DengXian-Regular"/>
          <w:sz w:val="32"/>
          <w:szCs w:val="32"/>
        </w:rPr>
        <w:t>4.74</w:t>
      </w:r>
      <w:r>
        <w:rPr>
          <w:rFonts w:ascii="仿宋_GB2312" w:eastAsia="仿宋_GB2312" w:cs="DengXian-Regular" w:hint="eastAsia"/>
          <w:sz w:val="32"/>
          <w:szCs w:val="32"/>
        </w:rPr>
        <w:t>%,主要是</w:t>
      </w:r>
      <w:r>
        <w:rPr>
          <w:rFonts w:eastAsia="仿宋_GB2312" w:hint="eastAsia"/>
          <w:sz w:val="32"/>
          <w:szCs w:val="32"/>
        </w:rPr>
        <w:t>严格控制公务用车的使用</w:t>
      </w:r>
      <w:r>
        <w:rPr>
          <w:rFonts w:ascii="仿宋_GB2312" w:eastAsia="仿宋_GB2312" w:cs="DengXian-Regular" w:hint="eastAsia"/>
          <w:sz w:val="32"/>
          <w:szCs w:val="32"/>
        </w:rPr>
        <w:t>；较上年增加4</w:t>
      </w:r>
      <w:r>
        <w:rPr>
          <w:rFonts w:ascii="仿宋_GB2312" w:eastAsia="仿宋_GB2312" w:cs="DengXian-Regular"/>
          <w:sz w:val="32"/>
          <w:szCs w:val="32"/>
        </w:rPr>
        <w:t>.29</w:t>
      </w:r>
      <w:r>
        <w:rPr>
          <w:rFonts w:ascii="仿宋_GB2312" w:eastAsia="仿宋_GB2312" w:cs="DengXian-Regular" w:hint="eastAsia"/>
          <w:sz w:val="32"/>
          <w:szCs w:val="32"/>
        </w:rPr>
        <w:t>万元，增长</w:t>
      </w:r>
      <w:r>
        <w:rPr>
          <w:rFonts w:ascii="仿宋_GB2312" w:eastAsia="仿宋_GB2312" w:cs="DengXian-Regular" w:hint="eastAsia"/>
          <w:sz w:val="32"/>
          <w:szCs w:val="32"/>
        </w:rPr>
        <w:lastRenderedPageBreak/>
        <w:t>7</w:t>
      </w:r>
      <w:r>
        <w:rPr>
          <w:rFonts w:ascii="仿宋_GB2312" w:eastAsia="仿宋_GB2312" w:cs="DengXian-Regular"/>
          <w:sz w:val="32"/>
          <w:szCs w:val="32"/>
        </w:rPr>
        <w:t>9.74</w:t>
      </w:r>
      <w:r>
        <w:rPr>
          <w:rFonts w:ascii="仿宋_GB2312" w:eastAsia="仿宋_GB2312" w:cs="DengXian-Regular" w:hint="eastAsia"/>
          <w:sz w:val="32"/>
          <w:szCs w:val="32"/>
        </w:rPr>
        <w:t>%，主要是</w:t>
      </w:r>
      <w:r>
        <w:rPr>
          <w:rFonts w:ascii="仿宋_GB2312" w:eastAsia="仿宋_GB2312" w:cs="DengXian-Regular"/>
          <w:sz w:val="32"/>
          <w:szCs w:val="32"/>
        </w:rPr>
        <w:t>2019</w:t>
      </w:r>
      <w:r>
        <w:rPr>
          <w:rFonts w:ascii="仿宋_GB2312" w:eastAsia="仿宋_GB2312" w:cs="DengXian-Regular" w:hint="eastAsia"/>
          <w:sz w:val="32"/>
          <w:szCs w:val="32"/>
        </w:rPr>
        <w:t>年我镇实行了机构改革，胜芳建设局并入我镇，增加了工作任务，公务用车使用频率增加。</w:t>
      </w:r>
    </w:p>
    <w:p w:rsidR="00A90DD5" w:rsidRDefault="00155BB9">
      <w:pPr>
        <w:adjustRightInd w:val="0"/>
        <w:snapToGrid w:val="0"/>
        <w:spacing w:line="580" w:lineRule="exact"/>
        <w:ind w:firstLineChars="200" w:firstLine="641"/>
        <w:rPr>
          <w:rFonts w:ascii="仿宋_GB2312" w:eastAsia="仿宋_GB2312" w:cs="DengXian-Regular"/>
          <w:sz w:val="32"/>
          <w:szCs w:val="32"/>
        </w:rPr>
      </w:pPr>
      <w:r>
        <w:rPr>
          <w:rFonts w:eastAsia="楷体_GB2312"/>
          <w:b/>
          <w:bCs/>
          <w:sz w:val="32"/>
          <w:szCs w:val="32"/>
        </w:rPr>
        <w:t>（三）公务接待费支出</w:t>
      </w:r>
      <w:r>
        <w:rPr>
          <w:rFonts w:eastAsia="楷体_GB2312"/>
          <w:b/>
          <w:bCs/>
          <w:sz w:val="32"/>
          <w:szCs w:val="32"/>
        </w:rPr>
        <w:t>0</w:t>
      </w:r>
      <w:r>
        <w:rPr>
          <w:rFonts w:eastAsia="楷体_GB2312"/>
          <w:b/>
          <w:bCs/>
          <w:sz w:val="32"/>
          <w:szCs w:val="32"/>
        </w:rPr>
        <w:t>万元。</w:t>
      </w:r>
      <w:r>
        <w:rPr>
          <w:rFonts w:ascii="仿宋_GB2312" w:eastAsia="仿宋_GB2312" w:cs="DengXian-Regular" w:hint="eastAsia"/>
          <w:sz w:val="32"/>
          <w:szCs w:val="32"/>
        </w:rPr>
        <w:t>本部门2019年度公务接待共</w:t>
      </w:r>
      <w:r>
        <w:rPr>
          <w:rFonts w:ascii="仿宋_GB2312" w:eastAsia="仿宋_GB2312" w:cs="DengXian-Regular"/>
          <w:sz w:val="32"/>
          <w:szCs w:val="32"/>
        </w:rPr>
        <w:t>0</w:t>
      </w:r>
      <w:r>
        <w:rPr>
          <w:rFonts w:ascii="仿宋_GB2312" w:eastAsia="仿宋_GB2312" w:cs="DengXian-Regular" w:hint="eastAsia"/>
          <w:sz w:val="32"/>
          <w:szCs w:val="32"/>
        </w:rPr>
        <w:t>批次、</w:t>
      </w:r>
      <w:r>
        <w:rPr>
          <w:rFonts w:ascii="仿宋_GB2312" w:eastAsia="仿宋_GB2312" w:cs="DengXian-Regular"/>
          <w:sz w:val="32"/>
          <w:szCs w:val="32"/>
        </w:rPr>
        <w:t>0</w:t>
      </w:r>
      <w:r>
        <w:rPr>
          <w:rFonts w:ascii="仿宋_GB2312" w:eastAsia="仿宋_GB2312" w:cs="DengXian-Regular" w:hint="eastAsia"/>
          <w:sz w:val="32"/>
          <w:szCs w:val="32"/>
        </w:rPr>
        <w:t>人次。公务接待费支出较预算减少</w:t>
      </w:r>
      <w:r>
        <w:rPr>
          <w:rFonts w:ascii="仿宋_GB2312" w:eastAsia="仿宋_GB2312" w:cs="DengXian-Regular"/>
          <w:sz w:val="32"/>
          <w:szCs w:val="32"/>
        </w:rPr>
        <w:t>3.17</w:t>
      </w:r>
      <w:r>
        <w:rPr>
          <w:rFonts w:ascii="仿宋_GB2312" w:eastAsia="仿宋_GB2312" w:cs="DengXian-Regular" w:hint="eastAsia"/>
          <w:sz w:val="32"/>
          <w:szCs w:val="32"/>
        </w:rPr>
        <w:t>万元，降低</w:t>
      </w:r>
      <w:r>
        <w:rPr>
          <w:rFonts w:ascii="仿宋_GB2312" w:eastAsia="仿宋_GB2312" w:cs="DengXian-Regular"/>
          <w:sz w:val="32"/>
          <w:szCs w:val="32"/>
        </w:rPr>
        <w:t>100</w:t>
      </w:r>
      <w:r>
        <w:rPr>
          <w:rFonts w:ascii="仿宋_GB2312" w:eastAsia="仿宋_GB2312" w:cs="DengXian-Regular" w:hint="eastAsia"/>
          <w:sz w:val="32"/>
          <w:szCs w:val="32"/>
        </w:rPr>
        <w:t>%,主要是未发生公务接待支出；较上年度减少</w:t>
      </w:r>
      <w:r>
        <w:rPr>
          <w:rFonts w:ascii="仿宋_GB2312" w:eastAsia="仿宋_GB2312" w:cs="DengXian-Regular"/>
          <w:sz w:val="32"/>
          <w:szCs w:val="32"/>
        </w:rPr>
        <w:t>0.64</w:t>
      </w:r>
      <w:r>
        <w:rPr>
          <w:rFonts w:ascii="仿宋_GB2312" w:eastAsia="仿宋_GB2312" w:cs="DengXian-Regular" w:hint="eastAsia"/>
          <w:sz w:val="32"/>
          <w:szCs w:val="32"/>
        </w:rPr>
        <w:t>万元，降低</w:t>
      </w:r>
      <w:r>
        <w:rPr>
          <w:rFonts w:ascii="仿宋_GB2312" w:eastAsia="仿宋_GB2312" w:cs="DengXian-Regular"/>
          <w:sz w:val="32"/>
          <w:szCs w:val="32"/>
        </w:rPr>
        <w:t>100</w:t>
      </w:r>
      <w:r>
        <w:rPr>
          <w:rFonts w:ascii="仿宋_GB2312" w:eastAsia="仿宋_GB2312" w:cs="DengXian-Regular" w:hint="eastAsia"/>
          <w:sz w:val="32"/>
          <w:szCs w:val="32"/>
        </w:rPr>
        <w:t>%,主要是未发生公务接待支出。</w:t>
      </w:r>
    </w:p>
    <w:p w:rsidR="00A90DD5" w:rsidRDefault="00155BB9">
      <w:pPr>
        <w:adjustRightInd w:val="0"/>
        <w:snapToGrid w:val="0"/>
        <w:spacing w:line="580" w:lineRule="exact"/>
        <w:ind w:firstLineChars="200" w:firstLine="640"/>
        <w:rPr>
          <w:rFonts w:ascii="黑体" w:eastAsia="黑体"/>
          <w:sz w:val="32"/>
          <w:szCs w:val="40"/>
        </w:rPr>
      </w:pPr>
      <w:bookmarkStart w:id="0" w:name="_Hlk51834005"/>
      <w:r>
        <w:rPr>
          <w:rFonts w:ascii="黑体" w:eastAsia="黑体" w:hint="eastAsia"/>
          <w:sz w:val="32"/>
          <w:szCs w:val="40"/>
        </w:rPr>
        <w:t>六、预算绩效情况说明</w:t>
      </w:r>
    </w:p>
    <w:p w:rsidR="00A90DD5" w:rsidRDefault="00155BB9">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rsidR="00A90DD5" w:rsidRDefault="00155BB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根据预算绩效管理要求，本部门组织对2019年度一般公共预算项目支出全面开展绩效自评，其中，项目90个，共涉及资金</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2725.5万元，占一般公共预算项目支出总额的100%。组织对2019年度(环卫处)清扫</w:t>
      </w:r>
      <w:r>
        <w:rPr>
          <w:rFonts w:ascii="仿宋_GB2312" w:eastAsia="仿宋_GB2312" w:hAnsi="仿宋_GB2312" w:cs="仿宋_GB2312"/>
          <w:sz w:val="32"/>
          <w:szCs w:val="32"/>
        </w:rPr>
        <w:t>清运保洁（</w:t>
      </w:r>
      <w:r>
        <w:rPr>
          <w:rFonts w:ascii="仿宋_GB2312" w:eastAsia="仿宋_GB2312" w:hAnsi="仿宋_GB2312" w:cs="仿宋_GB2312" w:hint="eastAsia"/>
          <w:sz w:val="32"/>
          <w:szCs w:val="32"/>
        </w:rPr>
        <w:t>城乡</w:t>
      </w:r>
      <w:r>
        <w:rPr>
          <w:rFonts w:ascii="仿宋_GB2312" w:eastAsia="仿宋_GB2312" w:hAnsi="仿宋_GB2312" w:cs="仿宋_GB2312"/>
          <w:sz w:val="32"/>
          <w:szCs w:val="32"/>
        </w:rPr>
        <w:t>一体化）</w:t>
      </w:r>
      <w:r>
        <w:rPr>
          <w:rFonts w:ascii="仿宋_GB2312" w:eastAsia="仿宋_GB2312" w:hAnsi="仿宋_GB2312" w:cs="仿宋_GB2312" w:hint="eastAsia"/>
          <w:sz w:val="32"/>
          <w:szCs w:val="32"/>
        </w:rPr>
        <w:t>、提前下达九通一平工程旧欠资金等38个政府性基金预算项目支出开展绩效自评，共涉及资金14275.62万元，占政府性基金预算项目支出总额的</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00%。从评价情况来看，我镇大多数项目能够实现年初设定的绩效目标，发挥了良好的资金使用效益，为各项工作的开展提供了有力的支持。但个别项目也存在着评价资料不足、绩效目标设置的不全面、不合理、项目绩效标准相对模糊难以进行准确评价等问题。我镇将进一步提高项目绩效管理水平，推动改进项目绩效管理工作。</w:t>
      </w:r>
    </w:p>
    <w:p w:rsidR="00A90DD5" w:rsidRDefault="00155BB9">
      <w:pPr>
        <w:adjustRightInd w:val="0"/>
        <w:snapToGrid w:val="0"/>
        <w:spacing w:line="580" w:lineRule="exact"/>
        <w:ind w:leftChars="200" w:left="420" w:firstLineChars="100" w:firstLine="321"/>
        <w:rPr>
          <w:rFonts w:ascii="仿宋_GB2312" w:eastAsia="仿宋_GB2312" w:hAnsi="仿宋_GB2312" w:cs="仿宋_GB2312"/>
          <w:b/>
          <w:bCs/>
          <w:sz w:val="32"/>
          <w:szCs w:val="32"/>
        </w:rPr>
      </w:pPr>
      <w:bookmarkStart w:id="1" w:name="_Hlk70582230"/>
      <w:r>
        <w:rPr>
          <w:rFonts w:ascii="仿宋_GB2312" w:eastAsia="仿宋_GB2312" w:hAnsi="仿宋_GB2312" w:cs="仿宋_GB2312" w:hint="eastAsia"/>
          <w:b/>
          <w:bCs/>
          <w:sz w:val="32"/>
          <w:szCs w:val="32"/>
        </w:rPr>
        <w:lastRenderedPageBreak/>
        <w:t>2. 部门决算中项目绩效自评结果。</w:t>
      </w:r>
    </w:p>
    <w:bookmarkEnd w:id="1"/>
    <w:p w:rsidR="00A90DD5" w:rsidRDefault="00155BB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本部门在今年部门决算公开中反映（环卫处）清扫清运保洁经费（城乡一体化）项目及征地补偿款项目等</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个项目绩效自评结果。</w:t>
      </w:r>
    </w:p>
    <w:p w:rsidR="00A90DD5" w:rsidRDefault="00155BB9">
      <w:pPr>
        <w:numPr>
          <w:ilvl w:val="0"/>
          <w:numId w:val="2"/>
        </w:numPr>
        <w:adjustRightInd w:val="0"/>
        <w:snapToGrid w:val="0"/>
        <w:spacing w:after="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（环卫处）清扫清运保洁经费（城乡一体化）项目自评综述：根据年初设定的绩效目标，（环卫处）清扫清运保洁经费（城乡一体化）项目绩效自评得分为100分。全年预算数为</w:t>
      </w:r>
      <w:r>
        <w:rPr>
          <w:rFonts w:ascii="仿宋_GB2312" w:eastAsia="仿宋_GB2312" w:hAnsi="仿宋_GB2312" w:cs="仿宋_GB2312"/>
          <w:sz w:val="32"/>
          <w:szCs w:val="32"/>
        </w:rPr>
        <w:t>1895.882106</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1895.882106</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%。项目绩效目标完成情况：一是完成</w:t>
      </w:r>
      <w:r>
        <w:rPr>
          <w:rFonts w:ascii="仿宋_GB2312" w:eastAsia="仿宋_GB2312" w:hAnsi="仿宋_GB2312" w:cs="仿宋_GB2312"/>
          <w:sz w:val="32"/>
          <w:szCs w:val="32"/>
        </w:rPr>
        <w:t>了主要街道的清扫工作</w:t>
      </w:r>
      <w:r>
        <w:rPr>
          <w:rFonts w:ascii="仿宋_GB2312" w:eastAsia="仿宋_GB2312" w:hAnsi="仿宋_GB2312" w:cs="仿宋_GB2312" w:hint="eastAsia"/>
          <w:sz w:val="32"/>
          <w:szCs w:val="32"/>
        </w:rPr>
        <w:t>目标，日常巡查检查</w:t>
      </w:r>
      <w:r>
        <w:rPr>
          <w:rFonts w:ascii="仿宋_GB2312" w:eastAsia="仿宋_GB2312" w:hAnsi="仿宋_GB2312" w:cs="仿宋_GB2312"/>
          <w:sz w:val="32"/>
          <w:szCs w:val="32"/>
        </w:rPr>
        <w:t>及时完成</w:t>
      </w:r>
      <w:r>
        <w:rPr>
          <w:rFonts w:ascii="仿宋_GB2312" w:eastAsia="仿宋_GB2312" w:hAnsi="仿宋_GB2312" w:cs="仿宋_GB2312" w:hint="eastAsia"/>
          <w:sz w:val="32"/>
          <w:szCs w:val="32"/>
        </w:rPr>
        <w:t>；二是改善6个乡镇（区办）及国省干道两侧卫生</w:t>
      </w:r>
      <w:r>
        <w:rPr>
          <w:rFonts w:ascii="仿宋_GB2312" w:eastAsia="仿宋_GB2312" w:hAnsi="仿宋_GB2312" w:cs="仿宋_GB2312"/>
          <w:sz w:val="32"/>
          <w:szCs w:val="32"/>
        </w:rPr>
        <w:t>环境</w:t>
      </w:r>
      <w:r>
        <w:rPr>
          <w:rFonts w:ascii="仿宋_GB2312" w:eastAsia="仿宋_GB2312" w:hAnsi="仿宋_GB2312" w:cs="仿宋_GB2312" w:hint="eastAsia"/>
          <w:sz w:val="32"/>
          <w:szCs w:val="32"/>
        </w:rPr>
        <w:t>。发现的主要问题及原因：一是绩效指标设置不全面；二是部分绩效指标完成资料和依据不充分。下一步改进措施：</w:t>
      </w:r>
      <w:r>
        <w:rPr>
          <w:rFonts w:ascii="仿宋_GB2312" w:eastAsia="仿宋_GB2312" w:hAnsi="仿宋_GB2312" w:cs="仿宋_GB2312"/>
          <w:sz w:val="32"/>
          <w:szCs w:val="32"/>
        </w:rPr>
        <w:t>进一步推进项目绩效评价指标体系的建设，提高项目绩效指标评价准确性</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持续加强对项目实施后的长期跟踪评价，细化指标体系，优化评 价标准进一步提升预算项目绩效管理水平</w:t>
      </w:r>
      <w:r>
        <w:rPr>
          <w:rFonts w:ascii="仿宋_GB2312" w:eastAsia="仿宋_GB2312" w:hAnsi="仿宋_GB2312" w:cs="仿宋_GB2312" w:hint="eastAsia"/>
          <w:sz w:val="32"/>
          <w:szCs w:val="32"/>
        </w:rPr>
        <w:t>。</w:t>
      </w:r>
    </w:p>
    <w:p w:rsidR="00A90DD5" w:rsidRDefault="00444F6F" w:rsidP="00444F6F">
      <w:pPr>
        <w:adjustRightInd w:val="0"/>
        <w:snapToGrid w:val="0"/>
        <w:spacing w:after="0" w:line="360" w:lineRule="auto"/>
        <w:rPr>
          <w:rFonts w:ascii="仿宋_GB2312" w:eastAsia="仿宋_GB2312" w:hAnsi="仿宋_GB2312" w:cs="仿宋_GB2312"/>
          <w:sz w:val="32"/>
          <w:szCs w:val="32"/>
        </w:rPr>
      </w:pPr>
      <w:r w:rsidRPr="00444F6F">
        <w:lastRenderedPageBreak/>
        <w:drawing>
          <wp:inline distT="0" distB="0" distL="0" distR="0">
            <wp:extent cx="5615940" cy="7994641"/>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5940" cy="7994641"/>
                    </a:xfrm>
                    <a:prstGeom prst="rect">
                      <a:avLst/>
                    </a:prstGeom>
                    <a:noFill/>
                    <a:ln>
                      <a:noFill/>
                    </a:ln>
                  </pic:spPr>
                </pic:pic>
              </a:graphicData>
            </a:graphic>
          </wp:inline>
        </w:drawing>
      </w:r>
    </w:p>
    <w:p w:rsidR="00444F6F" w:rsidRDefault="00155BB9" w:rsidP="00444F6F">
      <w:pPr>
        <w:numPr>
          <w:ilvl w:val="0"/>
          <w:numId w:val="2"/>
        </w:numPr>
        <w:adjustRightInd w:val="0"/>
        <w:snapToGrid w:val="0"/>
        <w:spacing w:after="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征地补偿款项目绩效自评综述：根据年初设定的绩效目标，征地补偿款项目绩效自评得分为100分。全年预算数为</w:t>
      </w:r>
      <w:r>
        <w:rPr>
          <w:rFonts w:ascii="仿宋_GB2312" w:eastAsia="仿宋_GB2312" w:hAnsi="仿宋_GB2312" w:cs="仿宋_GB2312"/>
          <w:sz w:val="32"/>
          <w:szCs w:val="32"/>
        </w:rPr>
        <w:t>1095.44</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1095.437</w:t>
      </w:r>
      <w:r>
        <w:rPr>
          <w:rFonts w:ascii="仿宋_GB2312" w:eastAsia="仿宋_GB2312" w:hAnsi="仿宋_GB2312" w:cs="仿宋_GB2312" w:hint="eastAsia"/>
          <w:sz w:val="32"/>
          <w:szCs w:val="32"/>
        </w:rPr>
        <w:t>万元，完成预算的近</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bookmarkStart w:id="2" w:name="_Hlk70584268"/>
      <w:r>
        <w:rPr>
          <w:rFonts w:ascii="仿宋_GB2312" w:eastAsia="仿宋_GB2312" w:hAnsi="仿宋_GB2312" w:cs="仿宋_GB2312" w:hint="eastAsia"/>
          <w:sz w:val="32"/>
          <w:szCs w:val="32"/>
        </w:rPr>
        <w:t>项目绩效目标完成情况：一是按标准及时完成</w:t>
      </w:r>
      <w:r>
        <w:rPr>
          <w:rFonts w:ascii="仿宋_GB2312" w:eastAsia="仿宋_GB2312" w:hAnsi="仿宋_GB2312" w:cs="仿宋_GB2312"/>
          <w:sz w:val="32"/>
          <w:szCs w:val="32"/>
        </w:rPr>
        <w:t>了</w:t>
      </w:r>
      <w:r>
        <w:rPr>
          <w:rFonts w:ascii="仿宋_GB2312" w:eastAsia="仿宋_GB2312" w:hAnsi="仿宋_GB2312" w:cs="仿宋_GB2312" w:hint="eastAsia"/>
          <w:sz w:val="32"/>
          <w:szCs w:val="32"/>
        </w:rPr>
        <w:t>对占地</w:t>
      </w:r>
      <w:r>
        <w:rPr>
          <w:rFonts w:ascii="仿宋_GB2312" w:eastAsia="仿宋_GB2312" w:hAnsi="仿宋_GB2312" w:cs="仿宋_GB2312"/>
          <w:sz w:val="32"/>
          <w:szCs w:val="32"/>
        </w:rPr>
        <w:t>街村的补偿</w:t>
      </w:r>
      <w:r>
        <w:rPr>
          <w:rFonts w:ascii="仿宋_GB2312" w:eastAsia="仿宋_GB2312" w:hAnsi="仿宋_GB2312" w:cs="仿宋_GB2312" w:hint="eastAsia"/>
          <w:sz w:val="32"/>
          <w:szCs w:val="32"/>
        </w:rPr>
        <w:t>；二是维护街村</w:t>
      </w:r>
      <w:r>
        <w:rPr>
          <w:rFonts w:ascii="仿宋_GB2312" w:eastAsia="仿宋_GB2312" w:hAnsi="仿宋_GB2312" w:cs="仿宋_GB2312"/>
          <w:sz w:val="32"/>
          <w:szCs w:val="32"/>
        </w:rPr>
        <w:t>稳定，加快胜芳经济发展</w:t>
      </w:r>
      <w:r>
        <w:rPr>
          <w:rFonts w:ascii="仿宋_GB2312" w:eastAsia="仿宋_GB2312" w:hAnsi="仿宋_GB2312" w:cs="仿宋_GB2312" w:hint="eastAsia"/>
          <w:sz w:val="32"/>
          <w:szCs w:val="32"/>
        </w:rPr>
        <w:t>。发现的主要问题及原因：一是绩效指标设置不全面；二是部分绩效指标完成资料和依据不充分。下一步改进措施：</w:t>
      </w:r>
      <w:r>
        <w:rPr>
          <w:rFonts w:ascii="仿宋_GB2312" w:eastAsia="仿宋_GB2312" w:hAnsi="仿宋_GB2312" w:cs="仿宋_GB2312"/>
          <w:sz w:val="32"/>
          <w:szCs w:val="32"/>
        </w:rPr>
        <w:t>进一步推进项目绩效评价指标体系的建设，提高项目绩效指标评价准确性</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持续加强对项目实施后的长期跟踪评价，细化指标体系，优化评价标准进一步提升预算项目绩效管理水平</w:t>
      </w:r>
      <w:r>
        <w:rPr>
          <w:rFonts w:ascii="仿宋_GB2312" w:eastAsia="仿宋_GB2312" w:hAnsi="仿宋_GB2312" w:cs="仿宋_GB2312" w:hint="eastAsia"/>
          <w:sz w:val="32"/>
          <w:szCs w:val="32"/>
        </w:rPr>
        <w:t>。</w:t>
      </w:r>
    </w:p>
    <w:p w:rsidR="00444F6F" w:rsidRDefault="00444F6F" w:rsidP="00444F6F">
      <w:pPr>
        <w:adjustRightInd w:val="0"/>
        <w:snapToGrid w:val="0"/>
        <w:spacing w:after="0" w:line="360" w:lineRule="auto"/>
        <w:ind w:left="641"/>
        <w:rPr>
          <w:rFonts w:ascii="仿宋_GB2312" w:eastAsia="仿宋_GB2312" w:hAnsi="仿宋_GB2312" w:cs="仿宋_GB2312" w:hint="eastAsia"/>
          <w:sz w:val="32"/>
          <w:szCs w:val="32"/>
        </w:rPr>
      </w:pPr>
      <w:bookmarkStart w:id="3" w:name="_GoBack"/>
      <w:bookmarkEnd w:id="2"/>
      <w:r w:rsidRPr="00444F6F">
        <w:rPr>
          <w:rFonts w:hint="eastAsia"/>
        </w:rPr>
        <w:lastRenderedPageBreak/>
        <w:drawing>
          <wp:inline distT="0" distB="0" distL="0" distR="0">
            <wp:extent cx="5615940" cy="7919508"/>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5940" cy="7919508"/>
                    </a:xfrm>
                    <a:prstGeom prst="rect">
                      <a:avLst/>
                    </a:prstGeom>
                    <a:noFill/>
                    <a:ln>
                      <a:noFill/>
                    </a:ln>
                  </pic:spPr>
                </pic:pic>
              </a:graphicData>
            </a:graphic>
          </wp:inline>
        </w:drawing>
      </w:r>
      <w:bookmarkEnd w:id="3"/>
    </w:p>
    <w:p w:rsidR="00210D86" w:rsidRDefault="00444F6F" w:rsidP="00444F6F">
      <w:pPr>
        <w:adjustRightInd w:val="0"/>
        <w:snapToGrid w:val="0"/>
        <w:spacing w:after="0" w:line="580" w:lineRule="exact"/>
        <w:ind w:left="640"/>
        <w:rPr>
          <w:rFonts w:ascii="仿宋_GB2312" w:eastAsia="仿宋_GB2312" w:hAnsi="仿宋_GB2312" w:cs="仿宋_GB2312"/>
          <w:b/>
          <w:bCs/>
          <w:sz w:val="32"/>
          <w:szCs w:val="32"/>
        </w:rPr>
      </w:pPr>
      <w:r>
        <w:rPr>
          <w:rFonts w:ascii="仿宋_GB2312" w:eastAsia="仿宋_GB2312" w:hAnsi="仿宋_GB2312" w:cs="仿宋_GB2312"/>
          <w:b/>
          <w:bCs/>
          <w:sz w:val="32"/>
          <w:szCs w:val="32"/>
        </w:rPr>
        <w:lastRenderedPageBreak/>
        <w:t>3</w:t>
      </w:r>
      <w:r w:rsidRPr="00444F6F">
        <w:rPr>
          <w:rFonts w:ascii="仿宋_GB2312" w:eastAsia="仿宋_GB2312" w:hAnsi="仿宋_GB2312" w:cs="仿宋_GB2312" w:hint="eastAsia"/>
          <w:b/>
          <w:bCs/>
          <w:sz w:val="32"/>
          <w:szCs w:val="32"/>
        </w:rPr>
        <w:t xml:space="preserve">. </w:t>
      </w:r>
      <w:r w:rsidR="00166EAA">
        <w:rPr>
          <w:rFonts w:ascii="仿宋_GB2312" w:eastAsia="仿宋_GB2312" w:hAnsi="仿宋_GB2312" w:cs="仿宋_GB2312" w:hint="eastAsia"/>
          <w:b/>
          <w:bCs/>
          <w:sz w:val="32"/>
          <w:szCs w:val="32"/>
        </w:rPr>
        <w:t>财政</w:t>
      </w:r>
      <w:r w:rsidR="00166EAA">
        <w:rPr>
          <w:rFonts w:ascii="仿宋_GB2312" w:eastAsia="仿宋_GB2312" w:hAnsi="仿宋_GB2312" w:cs="仿宋_GB2312"/>
          <w:b/>
          <w:bCs/>
          <w:sz w:val="32"/>
          <w:szCs w:val="32"/>
        </w:rPr>
        <w:t>评价项目绩效评价结果</w:t>
      </w:r>
    </w:p>
    <w:p w:rsidR="00166EAA" w:rsidRPr="00444F6F" w:rsidRDefault="003A46D9" w:rsidP="005B7494">
      <w:pPr>
        <w:adjustRightInd w:val="0"/>
        <w:snapToGrid w:val="0"/>
        <w:spacing w:after="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霸州市财政局</w:t>
      </w:r>
      <w:r>
        <w:rPr>
          <w:rFonts w:ascii="仿宋_GB2312" w:eastAsia="仿宋_GB2312" w:hAnsi="仿宋_GB2312" w:cs="仿宋_GB2312"/>
          <w:sz w:val="32"/>
          <w:szCs w:val="32"/>
        </w:rPr>
        <w:t>委托</w:t>
      </w:r>
      <w:r w:rsidR="005B7494">
        <w:rPr>
          <w:rFonts w:ascii="仿宋_GB2312" w:eastAsia="仿宋_GB2312" w:hAnsi="仿宋_GB2312" w:cs="仿宋_GB2312" w:hint="eastAsia"/>
          <w:sz w:val="32"/>
          <w:szCs w:val="32"/>
        </w:rPr>
        <w:t>北京和</w:t>
      </w:r>
      <w:r w:rsidR="005B7494">
        <w:rPr>
          <w:rFonts w:ascii="仿宋_GB2312" w:eastAsia="仿宋_GB2312" w:hAnsi="仿宋_GB2312" w:cs="仿宋_GB2312"/>
          <w:sz w:val="32"/>
          <w:szCs w:val="32"/>
        </w:rPr>
        <w:t>兴会计师事务所、</w:t>
      </w:r>
      <w:r w:rsidR="005B7494">
        <w:rPr>
          <w:rFonts w:ascii="仿宋_GB2312" w:eastAsia="仿宋_GB2312" w:hAnsi="仿宋_GB2312" w:cs="仿宋_GB2312" w:hint="eastAsia"/>
          <w:sz w:val="32"/>
          <w:szCs w:val="32"/>
        </w:rPr>
        <w:t>廊坊市</w:t>
      </w:r>
      <w:r w:rsidR="005B7494">
        <w:rPr>
          <w:rFonts w:ascii="仿宋_GB2312" w:eastAsia="仿宋_GB2312" w:hAnsi="仿宋_GB2312" w:cs="仿宋_GB2312"/>
          <w:sz w:val="32"/>
          <w:szCs w:val="32"/>
        </w:rPr>
        <w:t>君启会计师事务所</w:t>
      </w:r>
      <w:r w:rsidR="005B7494">
        <w:rPr>
          <w:rFonts w:ascii="仿宋_GB2312" w:eastAsia="仿宋_GB2312" w:hAnsi="仿宋_GB2312" w:cs="仿宋_GB2312" w:hint="eastAsia"/>
          <w:sz w:val="32"/>
          <w:szCs w:val="32"/>
        </w:rPr>
        <w:t>、</w:t>
      </w:r>
      <w:r w:rsidR="005B7494" w:rsidRPr="005B7494">
        <w:rPr>
          <w:rFonts w:ascii="仿宋_GB2312" w:eastAsia="仿宋_GB2312" w:hAnsi="仿宋_GB2312" w:cs="仿宋_GB2312" w:hint="eastAsia"/>
          <w:sz w:val="32"/>
          <w:szCs w:val="32"/>
        </w:rPr>
        <w:t>北京金凯伟业咨询有限公司</w:t>
      </w:r>
      <w:r w:rsidR="005B7494">
        <w:rPr>
          <w:rFonts w:ascii="仿宋_GB2312" w:eastAsia="仿宋_GB2312" w:hAnsi="仿宋_GB2312" w:cs="仿宋_GB2312" w:hint="eastAsia"/>
          <w:sz w:val="32"/>
          <w:szCs w:val="32"/>
        </w:rPr>
        <w:t>、</w:t>
      </w:r>
      <w:r w:rsidR="005B7494" w:rsidRPr="005B7494">
        <w:rPr>
          <w:rFonts w:ascii="仿宋_GB2312" w:eastAsia="仿宋_GB2312" w:hAnsi="仿宋_GB2312" w:cs="仿宋_GB2312" w:hint="eastAsia"/>
          <w:sz w:val="32"/>
          <w:szCs w:val="32"/>
        </w:rPr>
        <w:t>廊坊佳泽会计师事务所</w:t>
      </w:r>
      <w:r w:rsidR="005B7494">
        <w:rPr>
          <w:rFonts w:ascii="仿宋_GB2312" w:eastAsia="仿宋_GB2312" w:hAnsi="仿宋_GB2312" w:cs="仿宋_GB2312" w:hint="eastAsia"/>
          <w:sz w:val="32"/>
          <w:szCs w:val="32"/>
        </w:rPr>
        <w:t>对我镇</w:t>
      </w:r>
      <w:r w:rsidR="005B7494">
        <w:rPr>
          <w:rFonts w:ascii="仿宋_GB2312" w:eastAsia="仿宋_GB2312" w:hAnsi="仿宋_GB2312" w:cs="仿宋_GB2312"/>
          <w:sz w:val="32"/>
          <w:szCs w:val="32"/>
        </w:rPr>
        <w:t>河道治理</w:t>
      </w:r>
      <w:r w:rsidR="005B7494">
        <w:rPr>
          <w:rFonts w:ascii="仿宋_GB2312" w:eastAsia="仿宋_GB2312" w:hAnsi="仿宋_GB2312" w:cs="仿宋_GB2312" w:hint="eastAsia"/>
          <w:sz w:val="32"/>
          <w:szCs w:val="32"/>
        </w:rPr>
        <w:t>经费</w:t>
      </w:r>
      <w:r w:rsidR="005B7494">
        <w:rPr>
          <w:rFonts w:ascii="仿宋_GB2312" w:eastAsia="仿宋_GB2312" w:hAnsi="仿宋_GB2312" w:cs="仿宋_GB2312"/>
          <w:sz w:val="32"/>
          <w:szCs w:val="32"/>
        </w:rPr>
        <w:t>项目、</w:t>
      </w:r>
      <w:r w:rsidR="005B7494" w:rsidRPr="005B7494">
        <w:rPr>
          <w:rFonts w:ascii="仿宋_GB2312" w:eastAsia="仿宋_GB2312" w:hAnsi="仿宋_GB2312" w:cs="仿宋_GB2312" w:hint="eastAsia"/>
          <w:sz w:val="32"/>
          <w:szCs w:val="32"/>
        </w:rPr>
        <w:t>胜芳镇区域工业污水渗坑治理工程资金</w:t>
      </w:r>
      <w:r w:rsidR="005B7494">
        <w:rPr>
          <w:rFonts w:ascii="仿宋_GB2312" w:eastAsia="仿宋_GB2312" w:hAnsi="仿宋_GB2312" w:cs="仿宋_GB2312" w:hint="eastAsia"/>
          <w:sz w:val="32"/>
          <w:szCs w:val="32"/>
        </w:rPr>
        <w:t>项目</w:t>
      </w:r>
      <w:r w:rsidR="005B7494">
        <w:rPr>
          <w:rFonts w:ascii="仿宋_GB2312" w:eastAsia="仿宋_GB2312" w:hAnsi="仿宋_GB2312" w:cs="仿宋_GB2312"/>
          <w:sz w:val="32"/>
          <w:szCs w:val="32"/>
        </w:rPr>
        <w:t>、</w:t>
      </w:r>
      <w:r w:rsidR="005B7494" w:rsidRPr="005B7494">
        <w:rPr>
          <w:rFonts w:ascii="仿宋_GB2312" w:eastAsia="仿宋_GB2312" w:hAnsi="仿宋_GB2312" w:cs="仿宋_GB2312" w:hint="eastAsia"/>
          <w:sz w:val="32"/>
          <w:szCs w:val="32"/>
        </w:rPr>
        <w:t>胜芳古镇运行维护经费项目</w:t>
      </w:r>
      <w:r w:rsidR="005B7494">
        <w:rPr>
          <w:rFonts w:ascii="仿宋_GB2312" w:eastAsia="仿宋_GB2312" w:hAnsi="仿宋_GB2312" w:cs="仿宋_GB2312" w:hint="eastAsia"/>
          <w:sz w:val="32"/>
          <w:szCs w:val="32"/>
        </w:rPr>
        <w:t>、</w:t>
      </w:r>
      <w:r w:rsidR="005B7494" w:rsidRPr="005B7494">
        <w:rPr>
          <w:rFonts w:ascii="仿宋_GB2312" w:eastAsia="仿宋_GB2312" w:hAnsi="仿宋_GB2312" w:cs="仿宋_GB2312" w:hint="eastAsia"/>
          <w:sz w:val="32"/>
          <w:szCs w:val="32"/>
        </w:rPr>
        <w:t>胜芳镇城乡环卫一体化项目</w:t>
      </w:r>
      <w:r w:rsidR="005B7494">
        <w:rPr>
          <w:rFonts w:ascii="仿宋_GB2312" w:eastAsia="仿宋_GB2312" w:hAnsi="仿宋_GB2312" w:cs="仿宋_GB2312" w:hint="eastAsia"/>
          <w:sz w:val="32"/>
          <w:szCs w:val="32"/>
        </w:rPr>
        <w:t>、园林绿化</w:t>
      </w:r>
      <w:r w:rsidR="005B7494">
        <w:rPr>
          <w:rFonts w:ascii="仿宋_GB2312" w:eastAsia="仿宋_GB2312" w:hAnsi="仿宋_GB2312" w:cs="仿宋_GB2312"/>
          <w:sz w:val="32"/>
          <w:szCs w:val="32"/>
        </w:rPr>
        <w:t>养护经费项目进行了重点</w:t>
      </w:r>
      <w:r w:rsidR="005B7494">
        <w:rPr>
          <w:rFonts w:ascii="仿宋_GB2312" w:eastAsia="仿宋_GB2312" w:hAnsi="仿宋_GB2312" w:cs="仿宋_GB2312" w:hint="eastAsia"/>
          <w:sz w:val="32"/>
          <w:szCs w:val="32"/>
        </w:rPr>
        <w:t>评价</w:t>
      </w:r>
      <w:r w:rsidR="005B7494">
        <w:rPr>
          <w:rFonts w:ascii="仿宋_GB2312" w:eastAsia="仿宋_GB2312" w:hAnsi="仿宋_GB2312" w:cs="仿宋_GB2312"/>
          <w:sz w:val="32"/>
          <w:szCs w:val="32"/>
        </w:rPr>
        <w:t>，委托</w:t>
      </w:r>
      <w:r w:rsidR="00214EE6" w:rsidRPr="005B7494">
        <w:rPr>
          <w:rFonts w:ascii="仿宋_GB2312" w:eastAsia="仿宋_GB2312" w:hAnsi="仿宋_GB2312" w:cs="仿宋_GB2312" w:hint="eastAsia"/>
          <w:sz w:val="32"/>
          <w:szCs w:val="32"/>
        </w:rPr>
        <w:t>廊坊佳泽会计师事务所</w:t>
      </w:r>
      <w:r w:rsidR="00214EE6">
        <w:rPr>
          <w:rFonts w:ascii="仿宋_GB2312" w:eastAsia="仿宋_GB2312" w:hAnsi="仿宋_GB2312" w:cs="仿宋_GB2312" w:hint="eastAsia"/>
          <w:sz w:val="32"/>
          <w:szCs w:val="32"/>
        </w:rPr>
        <w:t>对我镇</w:t>
      </w:r>
      <w:r w:rsidR="00214EE6">
        <w:rPr>
          <w:rFonts w:ascii="仿宋_GB2312" w:eastAsia="仿宋_GB2312" w:hAnsi="仿宋_GB2312" w:cs="仿宋_GB2312"/>
          <w:sz w:val="32"/>
          <w:szCs w:val="32"/>
        </w:rPr>
        <w:t>部门整体评价</w:t>
      </w:r>
      <w:r w:rsidR="00214EE6">
        <w:rPr>
          <w:rFonts w:ascii="仿宋_GB2312" w:eastAsia="仿宋_GB2312" w:hAnsi="仿宋_GB2312" w:cs="仿宋_GB2312" w:hint="eastAsia"/>
          <w:sz w:val="32"/>
          <w:szCs w:val="32"/>
        </w:rPr>
        <w:t>，</w:t>
      </w:r>
      <w:r w:rsidR="00214EE6">
        <w:rPr>
          <w:rFonts w:ascii="仿宋_GB2312" w:eastAsia="仿宋_GB2312" w:hAnsi="仿宋_GB2312" w:cs="仿宋_GB2312"/>
          <w:sz w:val="32"/>
          <w:szCs w:val="32"/>
        </w:rPr>
        <w:t>评价结果</w:t>
      </w:r>
      <w:r w:rsidR="00214EE6">
        <w:rPr>
          <w:rFonts w:ascii="仿宋_GB2312" w:eastAsia="仿宋_GB2312" w:hAnsi="仿宋_GB2312" w:cs="仿宋_GB2312" w:hint="eastAsia"/>
          <w:sz w:val="32"/>
          <w:szCs w:val="32"/>
        </w:rPr>
        <w:t>未</w:t>
      </w:r>
      <w:r w:rsidR="00214EE6">
        <w:rPr>
          <w:rFonts w:ascii="仿宋_GB2312" w:eastAsia="仿宋_GB2312" w:hAnsi="仿宋_GB2312" w:cs="仿宋_GB2312"/>
          <w:sz w:val="32"/>
          <w:szCs w:val="32"/>
        </w:rPr>
        <w:t>形成正式报告，待形成报告后给予公示。</w:t>
      </w:r>
    </w:p>
    <w:bookmarkEnd w:id="0"/>
    <w:p w:rsidR="00A90DD5" w:rsidRDefault="00155BB9">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A90DD5" w:rsidRDefault="00155BB9">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（一）机关运行经费情况</w:t>
      </w:r>
    </w:p>
    <w:p w:rsidR="00A90DD5" w:rsidRDefault="00155BB9">
      <w:pPr>
        <w:pStyle w:val="3"/>
        <w:spacing w:before="0" w:after="0" w:line="580" w:lineRule="exact"/>
        <w:ind w:firstLineChars="200" w:firstLine="640"/>
        <w:rPr>
          <w:rFonts w:ascii="仿宋_GB2312" w:eastAsia="仿宋_GB2312" w:cs="DengXian-Regular"/>
          <w:b w:val="0"/>
        </w:rPr>
      </w:pPr>
      <w:r>
        <w:rPr>
          <w:rFonts w:ascii="仿宋_GB2312" w:eastAsia="仿宋_GB2312" w:cs="DengXian-Regular" w:hint="eastAsia"/>
          <w:b w:val="0"/>
        </w:rPr>
        <w:t>本部门2019年度机关运行经费支出</w:t>
      </w:r>
      <w:r>
        <w:rPr>
          <w:rFonts w:ascii="仿宋_GB2312" w:eastAsia="仿宋_GB2312" w:cs="DengXian-Regular"/>
          <w:b w:val="0"/>
        </w:rPr>
        <w:t>320.47</w:t>
      </w:r>
      <w:r>
        <w:rPr>
          <w:rFonts w:ascii="仿宋_GB2312" w:eastAsia="仿宋_GB2312" w:cs="DengXian-Regular" w:hint="eastAsia"/>
          <w:b w:val="0"/>
        </w:rPr>
        <w:t>万元，较2019年初预算减少28.86万元，主要原因是厉行节俭控制支出；比2018年度增加</w:t>
      </w:r>
      <w:r>
        <w:rPr>
          <w:rFonts w:ascii="仿宋_GB2312" w:eastAsia="仿宋_GB2312" w:cs="DengXian-Regular"/>
          <w:b w:val="0"/>
        </w:rPr>
        <w:t>50.04</w:t>
      </w:r>
      <w:r>
        <w:rPr>
          <w:rFonts w:ascii="仿宋_GB2312" w:eastAsia="仿宋_GB2312" w:cs="DengXian-Regular" w:hint="eastAsia"/>
          <w:b w:val="0"/>
        </w:rPr>
        <w:t>万元，增长1</w:t>
      </w:r>
      <w:r>
        <w:rPr>
          <w:rFonts w:ascii="仿宋_GB2312" w:eastAsia="仿宋_GB2312" w:cs="DengXian-Regular"/>
          <w:b w:val="0"/>
        </w:rPr>
        <w:t>8.5</w:t>
      </w:r>
      <w:r>
        <w:rPr>
          <w:rFonts w:ascii="仿宋_GB2312" w:eastAsia="仿宋_GB2312" w:cs="DengXian-Regular" w:hint="eastAsia"/>
          <w:b w:val="0"/>
        </w:rPr>
        <w:t>%。主要原因是</w:t>
      </w:r>
      <w:r>
        <w:rPr>
          <w:rFonts w:ascii="仿宋_GB2312" w:eastAsia="仿宋_GB2312" w:cs="DengXian-Regular"/>
          <w:b w:val="0"/>
        </w:rPr>
        <w:t>2019</w:t>
      </w:r>
      <w:r>
        <w:rPr>
          <w:rFonts w:ascii="仿宋_GB2312" w:eastAsia="仿宋_GB2312" w:cs="DengXian-Regular" w:hint="eastAsia"/>
          <w:b w:val="0"/>
        </w:rPr>
        <w:t>年我镇实行了机构改革，胜芳建设局并入我镇，增加了人员和工作任务。</w:t>
      </w:r>
    </w:p>
    <w:p w:rsidR="00A90DD5" w:rsidRDefault="00155BB9">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（二）政府采购情况</w:t>
      </w:r>
    </w:p>
    <w:p w:rsidR="00A90DD5" w:rsidRDefault="00155BB9">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本部门2019年度政府采购支出总额</w:t>
      </w:r>
      <w:r>
        <w:rPr>
          <w:rFonts w:ascii="仿宋_GB2312" w:eastAsia="仿宋_GB2312" w:cs="DengXian-Regular"/>
          <w:sz w:val="32"/>
          <w:szCs w:val="32"/>
        </w:rPr>
        <w:t>1829.02</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政府采购货物支出299.1万元、政府采购工程支出936.7万元、政府采购服务支出 593.22万元。授予中小企业合同金1829.02万元，占政府采购支出总额的100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其中授予小微企业合同金额1829.02万元，占政府采购支出总额的100%。</w:t>
      </w:r>
    </w:p>
    <w:p w:rsidR="00A90DD5" w:rsidRDefault="00155BB9">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lastRenderedPageBreak/>
        <w:t>（三）国有资产占用情况</w:t>
      </w:r>
    </w:p>
    <w:p w:rsidR="00A90DD5" w:rsidRDefault="00155BB9">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截至2019年12月31日，本部门共有车辆</w:t>
      </w:r>
      <w:r>
        <w:rPr>
          <w:rFonts w:ascii="仿宋_GB2312" w:eastAsia="仿宋_GB2312" w:cs="DengXian-Regular"/>
          <w:sz w:val="32"/>
          <w:szCs w:val="32"/>
        </w:rPr>
        <w:t>54</w:t>
      </w:r>
      <w:r>
        <w:rPr>
          <w:rFonts w:ascii="仿宋_GB2312" w:eastAsia="仿宋_GB2312" w:cs="DengXian-Regular" w:hint="eastAsia"/>
          <w:sz w:val="32"/>
          <w:szCs w:val="32"/>
        </w:rPr>
        <w:t>辆，比上年增加3</w:t>
      </w:r>
      <w:r>
        <w:rPr>
          <w:rFonts w:ascii="仿宋_GB2312" w:eastAsia="仿宋_GB2312" w:cs="DengXian-Regular"/>
          <w:sz w:val="32"/>
          <w:szCs w:val="32"/>
        </w:rPr>
        <w:t>8</w:t>
      </w:r>
      <w:r>
        <w:rPr>
          <w:rFonts w:ascii="仿宋_GB2312" w:eastAsia="仿宋_GB2312" w:cs="DengXian-Regular" w:hint="eastAsia"/>
          <w:sz w:val="32"/>
          <w:szCs w:val="32"/>
        </w:rPr>
        <w:t>辆，主要是</w:t>
      </w:r>
      <w:r>
        <w:rPr>
          <w:rFonts w:ascii="仿宋_GB2312" w:eastAsia="仿宋_GB2312" w:cs="DengXian-Regular"/>
          <w:sz w:val="32"/>
          <w:szCs w:val="32"/>
        </w:rPr>
        <w:t>2019</w:t>
      </w:r>
      <w:r>
        <w:rPr>
          <w:rFonts w:ascii="仿宋_GB2312" w:eastAsia="仿宋_GB2312" w:cs="DengXian-Regular" w:hint="eastAsia"/>
          <w:sz w:val="32"/>
          <w:szCs w:val="32"/>
        </w:rPr>
        <w:t>年我镇实行了机构改革，胜芳建设局并入我镇，增加了建设局的环卫清扫清运专用车。其中，副部（省）级及以上领导用车</w:t>
      </w:r>
      <w:r>
        <w:rPr>
          <w:rFonts w:ascii="仿宋_GB2312" w:eastAsia="仿宋_GB2312" w:cs="DengXian-Regular"/>
          <w:sz w:val="32"/>
          <w:szCs w:val="32"/>
        </w:rPr>
        <w:t>0</w:t>
      </w:r>
      <w:r>
        <w:rPr>
          <w:rFonts w:ascii="仿宋_GB2312" w:eastAsia="仿宋_GB2312" w:cs="DengXian-Regular" w:hint="eastAsia"/>
          <w:sz w:val="32"/>
          <w:szCs w:val="32"/>
        </w:rPr>
        <w:t>辆，主要领导干部用车</w:t>
      </w:r>
      <w:r>
        <w:rPr>
          <w:rFonts w:ascii="仿宋_GB2312" w:eastAsia="仿宋_GB2312" w:cs="DengXian-Regular"/>
          <w:sz w:val="32"/>
          <w:szCs w:val="32"/>
        </w:rPr>
        <w:t>0</w:t>
      </w:r>
      <w:r>
        <w:rPr>
          <w:rFonts w:ascii="仿宋_GB2312" w:eastAsia="仿宋_GB2312" w:cs="DengXian-Regular" w:hint="eastAsia"/>
          <w:sz w:val="32"/>
          <w:szCs w:val="32"/>
        </w:rPr>
        <w:t>辆，机要通信用车</w:t>
      </w:r>
      <w:r>
        <w:rPr>
          <w:rFonts w:ascii="仿宋_GB2312" w:eastAsia="仿宋_GB2312" w:cs="DengXian-Regular"/>
          <w:sz w:val="32"/>
          <w:szCs w:val="32"/>
        </w:rPr>
        <w:t>3</w:t>
      </w:r>
      <w:r>
        <w:rPr>
          <w:rFonts w:ascii="仿宋_GB2312" w:eastAsia="仿宋_GB2312" w:cs="DengXian-Regular" w:hint="eastAsia"/>
          <w:sz w:val="32"/>
          <w:szCs w:val="32"/>
        </w:rPr>
        <w:t>辆，应急保障用车</w:t>
      </w:r>
      <w:r>
        <w:rPr>
          <w:rFonts w:ascii="仿宋_GB2312" w:eastAsia="仿宋_GB2312" w:cs="DengXian-Regular"/>
          <w:sz w:val="32"/>
          <w:szCs w:val="32"/>
        </w:rPr>
        <w:t>0</w:t>
      </w:r>
      <w:r>
        <w:rPr>
          <w:rFonts w:ascii="仿宋_GB2312" w:eastAsia="仿宋_GB2312" w:cs="DengXian-Regular" w:hint="eastAsia"/>
          <w:sz w:val="32"/>
          <w:szCs w:val="32"/>
        </w:rPr>
        <w:t>辆，执法执勤用车</w:t>
      </w:r>
      <w:r>
        <w:rPr>
          <w:rFonts w:ascii="仿宋_GB2312" w:eastAsia="仿宋_GB2312" w:cs="DengXian-Regular"/>
          <w:sz w:val="32"/>
          <w:szCs w:val="32"/>
        </w:rPr>
        <w:t>0</w:t>
      </w:r>
      <w:r>
        <w:rPr>
          <w:rFonts w:ascii="仿宋_GB2312" w:eastAsia="仿宋_GB2312" w:cs="DengXian-Regular" w:hint="eastAsia"/>
          <w:sz w:val="32"/>
          <w:szCs w:val="32"/>
        </w:rPr>
        <w:t>辆，特种专业技术用车</w:t>
      </w:r>
      <w:r>
        <w:rPr>
          <w:rFonts w:ascii="仿宋_GB2312" w:eastAsia="仿宋_GB2312" w:cs="DengXian-Regular"/>
          <w:sz w:val="32"/>
          <w:szCs w:val="32"/>
        </w:rPr>
        <w:t>1</w:t>
      </w:r>
      <w:r>
        <w:rPr>
          <w:rFonts w:ascii="仿宋_GB2312" w:eastAsia="仿宋_GB2312" w:cs="DengXian-Regular" w:hint="eastAsia"/>
          <w:sz w:val="32"/>
          <w:szCs w:val="32"/>
        </w:rPr>
        <w:t>辆，离退休干部用车</w:t>
      </w:r>
      <w:r>
        <w:rPr>
          <w:rFonts w:ascii="仿宋_GB2312" w:eastAsia="仿宋_GB2312" w:cs="DengXian-Regular"/>
          <w:sz w:val="32"/>
          <w:szCs w:val="32"/>
        </w:rPr>
        <w:t>0</w:t>
      </w:r>
      <w:r>
        <w:rPr>
          <w:rFonts w:ascii="仿宋_GB2312" w:eastAsia="仿宋_GB2312" w:cs="DengXian-Regular" w:hint="eastAsia"/>
          <w:sz w:val="32"/>
          <w:szCs w:val="32"/>
        </w:rPr>
        <w:t>辆，其他用车</w:t>
      </w:r>
      <w:r>
        <w:rPr>
          <w:rFonts w:ascii="仿宋_GB2312" w:eastAsia="仿宋_GB2312" w:cs="DengXian-Regular"/>
          <w:sz w:val="32"/>
          <w:szCs w:val="32"/>
        </w:rPr>
        <w:t>50</w:t>
      </w:r>
      <w:r>
        <w:rPr>
          <w:rFonts w:ascii="仿宋_GB2312" w:eastAsia="仿宋_GB2312" w:cs="DengXian-Regular" w:hint="eastAsia"/>
          <w:sz w:val="32"/>
          <w:szCs w:val="32"/>
        </w:rPr>
        <w:t>辆，其他用车主要是</w:t>
      </w:r>
      <w:bookmarkStart w:id="4" w:name="_Hlk52130105"/>
      <w:r>
        <w:rPr>
          <w:rFonts w:ascii="仿宋_GB2312" w:eastAsia="仿宋_GB2312" w:cs="DengXian-Regular" w:hint="eastAsia"/>
          <w:sz w:val="32"/>
          <w:szCs w:val="32"/>
        </w:rPr>
        <w:t>建设局的环卫清扫清运专用车</w:t>
      </w:r>
      <w:bookmarkEnd w:id="4"/>
      <w:r>
        <w:rPr>
          <w:rFonts w:ascii="仿宋_GB2312" w:eastAsia="仿宋_GB2312" w:cs="DengXian-Regular" w:hint="eastAsia"/>
          <w:sz w:val="32"/>
          <w:szCs w:val="32"/>
        </w:rPr>
        <w:t>；</w:t>
      </w:r>
    </w:p>
    <w:p w:rsidR="00A90DD5" w:rsidRDefault="00155BB9">
      <w:pPr>
        <w:adjustRightInd w:val="0"/>
        <w:snapToGrid w:val="0"/>
        <w:spacing w:line="580" w:lineRule="exact"/>
        <w:ind w:firstLineChars="200" w:firstLine="640"/>
        <w:rPr>
          <w:rFonts w:ascii="楷体_GB2312" w:eastAsia="楷体_GB2312" w:cs="DengXian-Bold"/>
          <w:b/>
          <w:bCs/>
          <w:sz w:val="32"/>
          <w:szCs w:val="32"/>
        </w:rPr>
      </w:pP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1</w:t>
      </w:r>
      <w:r>
        <w:rPr>
          <w:rFonts w:ascii="仿宋_GB2312" w:eastAsia="仿宋_GB2312" w:cs="DengXian-Regular" w:hint="eastAsia"/>
          <w:sz w:val="32"/>
          <w:szCs w:val="32"/>
        </w:rPr>
        <w:t>台（套），较上年无增减变化，单位价值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5</w:t>
      </w:r>
      <w:r>
        <w:rPr>
          <w:rFonts w:ascii="仿宋_GB2312" w:eastAsia="仿宋_GB2312" w:cs="DengXian-Regular" w:hint="eastAsia"/>
          <w:sz w:val="32"/>
          <w:szCs w:val="32"/>
        </w:rPr>
        <w:t>台（套），较上年无增减变化。</w:t>
      </w:r>
    </w:p>
    <w:p w:rsidR="00A90DD5" w:rsidRDefault="00155BB9">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（四）其他需要说明的情况</w:t>
      </w:r>
    </w:p>
    <w:p w:rsidR="00A90DD5" w:rsidRDefault="00155BB9">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 本部门2019年度国有资本经营预算无收支及结转结余情况，故国有资本经营预算财政拨款支出决算表以空表列示。</w:t>
      </w:r>
    </w:p>
    <w:p w:rsidR="00A90DD5" w:rsidRDefault="00155BB9">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 由于决算公开表格中金额数值应当保留两位小数，公开数据为四舍五入计算结果，个别数据合计项与分项之和存在小数点后差额，特此说明。</w:t>
      </w:r>
    </w:p>
    <w:p w:rsidR="00A90DD5" w:rsidRDefault="00A90DD5">
      <w:pPr>
        <w:widowControl/>
        <w:spacing w:line="1200" w:lineRule="exact"/>
        <w:jc w:val="center"/>
        <w:rPr>
          <w:rFonts w:asciiTheme="minorEastAsia" w:eastAsiaTheme="minorEastAsia" w:hAnsi="宋体"/>
          <w:color w:val="000000" w:themeColor="text1"/>
          <w:sz w:val="96"/>
          <w:szCs w:val="96"/>
        </w:rPr>
      </w:pPr>
    </w:p>
    <w:p w:rsidR="00A90DD5" w:rsidRDefault="00A90DD5">
      <w:pPr>
        <w:widowControl/>
        <w:spacing w:line="1200" w:lineRule="exact"/>
        <w:jc w:val="center"/>
        <w:rPr>
          <w:rFonts w:asciiTheme="minorEastAsia" w:eastAsiaTheme="minorEastAsia" w:hAnsi="宋体"/>
          <w:color w:val="000000" w:themeColor="text1"/>
          <w:sz w:val="96"/>
          <w:szCs w:val="96"/>
        </w:rPr>
      </w:pPr>
    </w:p>
    <w:p w:rsidR="00A90DD5" w:rsidRDefault="00A90DD5">
      <w:pPr>
        <w:widowControl/>
        <w:spacing w:line="1200" w:lineRule="exact"/>
        <w:jc w:val="center"/>
        <w:rPr>
          <w:rFonts w:asciiTheme="minorEastAsia" w:eastAsiaTheme="minorEastAsia" w:hAnsi="宋体"/>
          <w:color w:val="000000" w:themeColor="text1"/>
          <w:sz w:val="96"/>
          <w:szCs w:val="96"/>
        </w:rPr>
      </w:pPr>
    </w:p>
    <w:p w:rsidR="00A90DD5" w:rsidRDefault="00155BB9">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第三部分</w:t>
      </w:r>
    </w:p>
    <w:p w:rsidR="00A90DD5" w:rsidRDefault="00155BB9">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相关名词解释</w:t>
      </w:r>
    </w:p>
    <w:p w:rsidR="00A90DD5" w:rsidRDefault="00A90DD5">
      <w:pPr>
        <w:rPr>
          <w:rFonts w:ascii="宋体" w:hAnsi="宋体" w:cs="ArialUnicodeMS"/>
          <w:color w:val="000000"/>
          <w:kern w:val="0"/>
        </w:rPr>
        <w:sectPr w:rsidR="00A90DD5">
          <w:pgSz w:w="11906" w:h="16838"/>
          <w:pgMar w:top="2098" w:right="1474" w:bottom="1984" w:left="1588" w:header="851" w:footer="992" w:gutter="0"/>
          <w:cols w:space="0"/>
          <w:docGrid w:type="lines" w:linePitch="312"/>
        </w:sectPr>
      </w:pPr>
    </w:p>
    <w:p w:rsidR="00A90DD5" w:rsidRDefault="00155BB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A90DD5" w:rsidRDefault="00155BB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A90DD5" w:rsidRDefault="00155BB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A90DD5" w:rsidRDefault="00155BB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A90DD5" w:rsidRDefault="00155BB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A90DD5" w:rsidRDefault="00155BB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A90DD5" w:rsidRDefault="00155BB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A90DD5" w:rsidRDefault="00155BB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（八）基本支出：</w:t>
      </w:r>
      <w:r>
        <w:rPr>
          <w:rFonts w:ascii="仿宋_GB2312" w:eastAsia="仿宋_GB2312" w:hAnsi="宋体" w:hint="eastAsia"/>
          <w:color w:val="000000"/>
          <w:kern w:val="0"/>
          <w:sz w:val="32"/>
          <w:szCs w:val="32"/>
        </w:rPr>
        <w:t>填列单位为保障机构正常运转、完成日常工作任务而发生的各项支出。</w:t>
      </w:r>
    </w:p>
    <w:p w:rsidR="00A90DD5" w:rsidRDefault="00155BB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A90DD5" w:rsidRDefault="00155BB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A90DD5" w:rsidRDefault="00155BB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（十一）其他资本性支出：</w:t>
      </w:r>
      <w:r>
        <w:rPr>
          <w:rFonts w:ascii="仿宋_GB2312" w:eastAsia="仿宋_GB2312" w:hAnsi="宋体"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A90DD5" w:rsidRDefault="00155BB9">
      <w:pPr>
        <w:snapToGrid w:val="0"/>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A90DD5" w:rsidRDefault="00155BB9">
      <w:pPr>
        <w:snapToGrid w:val="0"/>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填列单位除公务用车运行维护费以外的其他交通费用。如公务交通补贴、租车费用、出租车费用，飞机、船舶等燃料费、维修费、保险费等。</w:t>
      </w:r>
    </w:p>
    <w:p w:rsidR="00A90DD5" w:rsidRDefault="00155BB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（十四）公务用车购置：</w:t>
      </w:r>
      <w:r>
        <w:rPr>
          <w:rFonts w:ascii="仿宋_GB2312" w:eastAsia="仿宋_GB2312" w:hAnsi="宋体" w:hint="eastAsia"/>
          <w:color w:val="000000"/>
          <w:kern w:val="0"/>
          <w:sz w:val="32"/>
          <w:szCs w:val="32"/>
        </w:rPr>
        <w:t>填列单位公务用车车辆购置支出（含车辆购置税、牌照费）。</w:t>
      </w:r>
    </w:p>
    <w:p w:rsidR="00A90DD5" w:rsidRDefault="00155BB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填列单位除公务用车外的其他各类交通工具（如船舶、飞机等）购置支出（含车辆购置税、牌照费）。</w:t>
      </w:r>
    </w:p>
    <w:p w:rsidR="00A90DD5" w:rsidRDefault="00155BB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A90DD5" w:rsidRDefault="00155BB9">
      <w:pPr>
        <w:widowControl/>
        <w:spacing w:line="560" w:lineRule="exact"/>
        <w:ind w:firstLineChars="200" w:firstLine="643"/>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A90DD5" w:rsidRDefault="00A90DD5">
      <w:pPr>
        <w:widowControl/>
        <w:spacing w:after="0" w:line="560" w:lineRule="exact"/>
        <w:ind w:firstLineChars="200" w:firstLine="640"/>
        <w:rPr>
          <w:rFonts w:ascii="仿宋_GB2312" w:eastAsia="仿宋_GB2312" w:hAnsiTheme="minorHAnsi" w:cs="ArialUnicodeMS"/>
          <w:kern w:val="0"/>
          <w:sz w:val="32"/>
          <w:szCs w:val="32"/>
        </w:rPr>
      </w:pPr>
    </w:p>
    <w:p w:rsidR="00A90DD5" w:rsidRDefault="00A90DD5">
      <w:pPr>
        <w:widowControl/>
        <w:spacing w:after="0" w:line="560" w:lineRule="exact"/>
        <w:ind w:firstLineChars="200" w:firstLine="640"/>
        <w:rPr>
          <w:rFonts w:ascii="仿宋_GB2312" w:eastAsia="仿宋_GB2312" w:hAnsiTheme="minorHAnsi" w:cs="ArialUnicodeMS"/>
          <w:kern w:val="0"/>
          <w:sz w:val="32"/>
          <w:szCs w:val="32"/>
        </w:rPr>
      </w:pPr>
    </w:p>
    <w:p w:rsidR="00A90DD5" w:rsidRDefault="00A90DD5">
      <w:pPr>
        <w:widowControl/>
        <w:spacing w:after="0" w:line="560" w:lineRule="exact"/>
        <w:ind w:firstLineChars="200" w:firstLine="640"/>
        <w:rPr>
          <w:rFonts w:ascii="仿宋_GB2312" w:eastAsia="仿宋_GB2312" w:hAnsiTheme="minorHAnsi" w:cs="ArialUnicodeMS"/>
          <w:kern w:val="0"/>
          <w:sz w:val="32"/>
          <w:szCs w:val="32"/>
        </w:rPr>
      </w:pPr>
    </w:p>
    <w:p w:rsidR="00A90DD5" w:rsidRDefault="00A90DD5">
      <w:pPr>
        <w:widowControl/>
        <w:spacing w:after="0" w:line="560" w:lineRule="exact"/>
        <w:ind w:firstLineChars="200" w:firstLine="640"/>
        <w:rPr>
          <w:rFonts w:ascii="仿宋_GB2312" w:eastAsia="仿宋_GB2312" w:hAnsiTheme="minorHAnsi" w:cs="ArialUnicodeMS"/>
          <w:kern w:val="0"/>
          <w:sz w:val="32"/>
          <w:szCs w:val="32"/>
        </w:rPr>
      </w:pPr>
    </w:p>
    <w:p w:rsidR="00A90DD5" w:rsidRDefault="00A90DD5">
      <w:pPr>
        <w:widowControl/>
        <w:spacing w:after="0" w:line="560" w:lineRule="exact"/>
        <w:ind w:firstLineChars="200" w:firstLine="640"/>
        <w:rPr>
          <w:rFonts w:ascii="仿宋_GB2312" w:eastAsia="仿宋_GB2312" w:hAnsiTheme="minorHAnsi" w:cs="ArialUnicodeMS"/>
          <w:kern w:val="0"/>
          <w:sz w:val="32"/>
          <w:szCs w:val="32"/>
        </w:rPr>
      </w:pPr>
    </w:p>
    <w:p w:rsidR="00A90DD5" w:rsidRDefault="00A90DD5">
      <w:pPr>
        <w:widowControl/>
        <w:spacing w:after="0" w:line="560" w:lineRule="exact"/>
        <w:ind w:firstLineChars="200" w:firstLine="640"/>
        <w:rPr>
          <w:rFonts w:ascii="仿宋_GB2312" w:eastAsia="仿宋_GB2312" w:hAnsiTheme="minorHAnsi" w:cs="ArialUnicodeMS"/>
          <w:kern w:val="0"/>
          <w:sz w:val="32"/>
          <w:szCs w:val="32"/>
        </w:rPr>
      </w:pPr>
    </w:p>
    <w:p w:rsidR="00A90DD5" w:rsidRDefault="00A90DD5">
      <w:pPr>
        <w:widowControl/>
        <w:spacing w:after="0" w:line="560" w:lineRule="exact"/>
        <w:ind w:firstLineChars="200" w:firstLine="640"/>
        <w:rPr>
          <w:rFonts w:ascii="仿宋_GB2312" w:eastAsia="仿宋_GB2312" w:hAnsiTheme="minorHAnsi" w:cs="ArialUnicodeMS"/>
          <w:kern w:val="0"/>
          <w:sz w:val="32"/>
          <w:szCs w:val="32"/>
        </w:rPr>
      </w:pPr>
    </w:p>
    <w:p w:rsidR="00A90DD5" w:rsidRDefault="00A90DD5">
      <w:pPr>
        <w:widowControl/>
        <w:spacing w:after="0" w:line="560" w:lineRule="exact"/>
        <w:ind w:firstLineChars="200" w:firstLine="640"/>
        <w:rPr>
          <w:rFonts w:ascii="仿宋_GB2312" w:eastAsia="仿宋_GB2312" w:hAnsiTheme="minorHAnsi" w:cs="ArialUnicodeMS"/>
          <w:kern w:val="0"/>
          <w:sz w:val="32"/>
          <w:szCs w:val="32"/>
        </w:rPr>
      </w:pPr>
    </w:p>
    <w:p w:rsidR="00A90DD5" w:rsidRDefault="00A90DD5">
      <w:pPr>
        <w:widowControl/>
        <w:spacing w:line="1200" w:lineRule="exact"/>
        <w:rPr>
          <w:rFonts w:asciiTheme="minorEastAsia" w:eastAsiaTheme="minorEastAsia" w:hAnsi="宋体"/>
          <w:color w:val="000000" w:themeColor="text1"/>
          <w:sz w:val="72"/>
          <w:szCs w:val="96"/>
        </w:rPr>
      </w:pPr>
    </w:p>
    <w:p w:rsidR="00A90DD5" w:rsidRDefault="00155BB9">
      <w:pPr>
        <w:widowControl/>
        <w:spacing w:line="1200" w:lineRule="exact"/>
        <w:jc w:val="center"/>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第四部分</w:t>
      </w:r>
    </w:p>
    <w:p w:rsidR="00A90DD5" w:rsidRDefault="00155BB9">
      <w:pPr>
        <w:widowControl/>
        <w:spacing w:line="1200" w:lineRule="exact"/>
        <w:jc w:val="center"/>
        <w:rPr>
          <w:color w:val="000000" w:themeColor="text1"/>
          <w:sz w:val="72"/>
          <w:szCs w:val="96"/>
        </w:rPr>
      </w:pPr>
      <w:r>
        <w:rPr>
          <w:rFonts w:asciiTheme="minorEastAsia" w:eastAsiaTheme="minorEastAsia" w:hAnsi="宋体" w:hint="eastAsia"/>
          <w:color w:val="000000" w:themeColor="text1"/>
          <w:sz w:val="72"/>
          <w:szCs w:val="96"/>
        </w:rPr>
        <w:t>2019年度部门决算报表</w:t>
      </w:r>
    </w:p>
    <w:p w:rsidR="00A90DD5" w:rsidRDefault="00A90DD5">
      <w:pPr>
        <w:widowControl/>
        <w:spacing w:line="560" w:lineRule="exact"/>
        <w:jc w:val="center"/>
        <w:rPr>
          <w:rFonts w:ascii="黑体" w:eastAsia="黑体" w:hAnsiTheme="minorHAnsi" w:cs="MS-UIGothic,Bold"/>
          <w:bCs/>
          <w:kern w:val="0"/>
          <w:sz w:val="52"/>
          <w:szCs w:val="52"/>
        </w:rPr>
      </w:pPr>
    </w:p>
    <w:p w:rsidR="00A90DD5" w:rsidRDefault="00A90DD5">
      <w:pPr>
        <w:widowControl/>
        <w:spacing w:line="560" w:lineRule="exact"/>
        <w:jc w:val="center"/>
        <w:rPr>
          <w:rFonts w:ascii="黑体" w:eastAsia="黑体" w:hAnsiTheme="minorHAnsi" w:cs="MS-UIGothic,Bold"/>
          <w:bCs/>
          <w:kern w:val="0"/>
          <w:sz w:val="52"/>
          <w:szCs w:val="52"/>
        </w:rPr>
      </w:pPr>
    </w:p>
    <w:p w:rsidR="00A90DD5" w:rsidRDefault="00A90DD5">
      <w:pPr>
        <w:rPr>
          <w:rFonts w:ascii="宋体" w:hAnsi="宋体" w:cs="ArialUnicodeMS"/>
          <w:color w:val="000000"/>
          <w:kern w:val="0"/>
        </w:rPr>
      </w:pPr>
    </w:p>
    <w:p w:rsidR="00A90DD5" w:rsidRDefault="00A90DD5">
      <w:pPr>
        <w:rPr>
          <w:rFonts w:ascii="宋体" w:hAnsi="宋体" w:cs="ArialUnicodeMS"/>
          <w:color w:val="000000"/>
          <w:kern w:val="0"/>
        </w:rPr>
      </w:pPr>
    </w:p>
    <w:p w:rsidR="00A90DD5" w:rsidRDefault="00A90DD5">
      <w:pPr>
        <w:rPr>
          <w:rFonts w:ascii="宋体" w:hAnsi="宋体" w:cs="ArialUnicodeMS"/>
          <w:color w:val="000000"/>
          <w:kern w:val="0"/>
        </w:rPr>
      </w:pPr>
    </w:p>
    <w:p w:rsidR="00A90DD5" w:rsidRDefault="00A90DD5">
      <w:pPr>
        <w:rPr>
          <w:rFonts w:ascii="宋体" w:hAnsi="宋体" w:cs="ArialUnicodeMS"/>
          <w:color w:val="000000"/>
          <w:kern w:val="0"/>
        </w:rPr>
      </w:pPr>
    </w:p>
    <w:p w:rsidR="00A90DD5" w:rsidRDefault="00A90DD5">
      <w:pPr>
        <w:widowControl/>
        <w:spacing w:after="0" w:line="240" w:lineRule="auto"/>
        <w:jc w:val="left"/>
        <w:rPr>
          <w:rFonts w:ascii="宋体" w:hAnsi="宋体" w:cs="ArialUnicodeMS"/>
          <w:color w:val="000000"/>
          <w:kern w:val="0"/>
        </w:rPr>
      </w:pPr>
    </w:p>
    <w:tbl>
      <w:tblPr>
        <w:tblW w:w="14120" w:type="dxa"/>
        <w:tblInd w:w="93" w:type="dxa"/>
        <w:tblLayout w:type="fixed"/>
        <w:tblLook w:val="04A0" w:firstRow="1" w:lastRow="0" w:firstColumn="1" w:lastColumn="0" w:noHBand="0" w:noVBand="1"/>
      </w:tblPr>
      <w:tblGrid>
        <w:gridCol w:w="4220"/>
        <w:gridCol w:w="580"/>
        <w:gridCol w:w="2260"/>
        <w:gridCol w:w="4220"/>
        <w:gridCol w:w="580"/>
        <w:gridCol w:w="2260"/>
      </w:tblGrid>
      <w:tr w:rsidR="00A90DD5">
        <w:trPr>
          <w:trHeight w:val="390"/>
        </w:trPr>
        <w:tc>
          <w:tcPr>
            <w:tcW w:w="4220" w:type="dxa"/>
            <w:tcBorders>
              <w:top w:val="nil"/>
              <w:left w:val="nil"/>
              <w:bottom w:val="nil"/>
              <w:right w:val="nil"/>
            </w:tcBorders>
            <w:shd w:val="clear" w:color="auto" w:fill="auto"/>
            <w:noWrap/>
            <w:vAlign w:val="bottom"/>
          </w:tcPr>
          <w:p w:rsidR="00A90DD5" w:rsidRDefault="00A90DD5">
            <w:pPr>
              <w:widowControl/>
              <w:spacing w:after="0" w:line="240" w:lineRule="auto"/>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tcPr>
          <w:p w:rsidR="00A90DD5" w:rsidRDefault="00A90DD5">
            <w:pPr>
              <w:widowControl/>
              <w:spacing w:after="0" w:line="240" w:lineRule="auto"/>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tcPr>
          <w:p w:rsidR="00A90DD5" w:rsidRDefault="00A90DD5">
            <w:pPr>
              <w:widowControl/>
              <w:spacing w:after="0" w:line="240" w:lineRule="auto"/>
              <w:rPr>
                <w:rFonts w:ascii="宋体" w:hAnsi="宋体" w:cs="Arial"/>
                <w:color w:val="000000"/>
                <w:kern w:val="0"/>
                <w:sz w:val="30"/>
                <w:szCs w:val="30"/>
              </w:rPr>
            </w:pPr>
          </w:p>
        </w:tc>
        <w:tc>
          <w:tcPr>
            <w:tcW w:w="4220" w:type="dxa"/>
            <w:tcBorders>
              <w:top w:val="nil"/>
              <w:left w:val="nil"/>
              <w:bottom w:val="nil"/>
              <w:right w:val="nil"/>
            </w:tcBorders>
            <w:shd w:val="clear" w:color="auto" w:fill="auto"/>
            <w:noWrap/>
            <w:vAlign w:val="bottom"/>
          </w:tcPr>
          <w:p w:rsidR="00A90DD5" w:rsidRDefault="00A90DD5">
            <w:pPr>
              <w:widowControl/>
              <w:spacing w:after="0" w:line="240" w:lineRule="auto"/>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tcPr>
          <w:p w:rsidR="00A90DD5" w:rsidRDefault="00A90DD5">
            <w:pPr>
              <w:widowControl/>
              <w:spacing w:after="0" w:line="240" w:lineRule="auto"/>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tcPr>
          <w:p w:rsidR="00A90DD5" w:rsidRDefault="00A90DD5">
            <w:pPr>
              <w:widowControl/>
              <w:spacing w:after="0" w:line="240" w:lineRule="auto"/>
              <w:jc w:val="left"/>
              <w:rPr>
                <w:rFonts w:ascii="Arial" w:hAnsi="Arial" w:cs="Arial"/>
                <w:color w:val="000000"/>
                <w:kern w:val="0"/>
                <w:sz w:val="20"/>
                <w:szCs w:val="20"/>
              </w:rPr>
            </w:pPr>
          </w:p>
        </w:tc>
      </w:tr>
    </w:tbl>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155BB9">
      <w:pPr>
        <w:widowControl/>
        <w:spacing w:line="240" w:lineRule="auto"/>
        <w:rPr>
          <w:rFonts w:asciiTheme="minorEastAsia" w:eastAsiaTheme="minorEastAsia" w:hAnsi="宋体"/>
          <w:color w:val="000000" w:themeColor="text1"/>
          <w:szCs w:val="21"/>
        </w:rPr>
      </w:pPr>
      <w:r>
        <w:rPr>
          <w:noProof/>
        </w:rPr>
        <w:lastRenderedPageBreak/>
        <w:drawing>
          <wp:inline distT="0" distB="0" distL="0" distR="0">
            <wp:extent cx="5615940" cy="41922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615940" cy="4192270"/>
                    </a:xfrm>
                    <a:prstGeom prst="rect">
                      <a:avLst/>
                    </a:prstGeom>
                    <a:noFill/>
                    <a:ln>
                      <a:noFill/>
                    </a:ln>
                  </pic:spPr>
                </pic:pic>
              </a:graphicData>
            </a:graphic>
          </wp:inline>
        </w:drawing>
      </w: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155BB9">
      <w:pPr>
        <w:widowControl/>
        <w:spacing w:line="240" w:lineRule="auto"/>
        <w:rPr>
          <w:rFonts w:asciiTheme="minorEastAsia" w:eastAsiaTheme="minorEastAsia" w:hAnsi="宋体"/>
          <w:color w:val="000000" w:themeColor="text1"/>
          <w:szCs w:val="21"/>
        </w:rPr>
      </w:pPr>
      <w:r>
        <w:rPr>
          <w:noProof/>
        </w:rPr>
        <w:lastRenderedPageBreak/>
        <w:drawing>
          <wp:inline distT="0" distB="0" distL="0" distR="0">
            <wp:extent cx="5615940" cy="65385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615940" cy="6538595"/>
                    </a:xfrm>
                    <a:prstGeom prst="rect">
                      <a:avLst/>
                    </a:prstGeom>
                    <a:noFill/>
                    <a:ln>
                      <a:noFill/>
                    </a:ln>
                  </pic:spPr>
                </pic:pic>
              </a:graphicData>
            </a:graphic>
          </wp:inline>
        </w:drawing>
      </w: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155BB9">
      <w:pPr>
        <w:widowControl/>
        <w:spacing w:line="240" w:lineRule="auto"/>
        <w:rPr>
          <w:rFonts w:asciiTheme="minorEastAsia" w:eastAsiaTheme="minorEastAsia" w:hAnsi="宋体"/>
          <w:color w:val="000000" w:themeColor="text1"/>
          <w:szCs w:val="21"/>
        </w:rPr>
      </w:pPr>
      <w:r>
        <w:rPr>
          <w:noProof/>
        </w:rPr>
        <w:lastRenderedPageBreak/>
        <w:drawing>
          <wp:inline distT="0" distB="0" distL="0" distR="0">
            <wp:extent cx="5615940" cy="72859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615940" cy="7285990"/>
                    </a:xfrm>
                    <a:prstGeom prst="rect">
                      <a:avLst/>
                    </a:prstGeom>
                    <a:noFill/>
                    <a:ln>
                      <a:noFill/>
                    </a:ln>
                  </pic:spPr>
                </pic:pic>
              </a:graphicData>
            </a:graphic>
          </wp:inline>
        </w:drawing>
      </w: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155BB9">
      <w:pPr>
        <w:widowControl/>
        <w:spacing w:line="240" w:lineRule="auto"/>
        <w:rPr>
          <w:rFonts w:asciiTheme="minorEastAsia" w:eastAsiaTheme="minorEastAsia" w:hAnsi="宋体"/>
          <w:color w:val="000000" w:themeColor="text1"/>
          <w:szCs w:val="21"/>
        </w:rPr>
      </w:pPr>
      <w:r>
        <w:rPr>
          <w:noProof/>
        </w:rPr>
        <w:lastRenderedPageBreak/>
        <w:drawing>
          <wp:inline distT="0" distB="0" distL="0" distR="0">
            <wp:extent cx="5615940" cy="43300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615940" cy="4330065"/>
                    </a:xfrm>
                    <a:prstGeom prst="rect">
                      <a:avLst/>
                    </a:prstGeom>
                    <a:noFill/>
                    <a:ln>
                      <a:noFill/>
                    </a:ln>
                  </pic:spPr>
                </pic:pic>
              </a:graphicData>
            </a:graphic>
          </wp:inline>
        </w:drawing>
      </w: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155BB9">
      <w:pPr>
        <w:widowControl/>
        <w:spacing w:line="240" w:lineRule="auto"/>
        <w:rPr>
          <w:rFonts w:asciiTheme="minorEastAsia" w:eastAsiaTheme="minorEastAsia" w:hAnsi="宋体"/>
          <w:color w:val="000000" w:themeColor="text1"/>
          <w:szCs w:val="21"/>
        </w:rPr>
      </w:pPr>
      <w:r>
        <w:rPr>
          <w:noProof/>
        </w:rPr>
        <w:lastRenderedPageBreak/>
        <w:drawing>
          <wp:inline distT="0" distB="0" distL="0" distR="0">
            <wp:extent cx="5615940" cy="79140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615940" cy="7914005"/>
                    </a:xfrm>
                    <a:prstGeom prst="rect">
                      <a:avLst/>
                    </a:prstGeom>
                    <a:noFill/>
                    <a:ln>
                      <a:noFill/>
                    </a:ln>
                  </pic:spPr>
                </pic:pic>
              </a:graphicData>
            </a:graphic>
          </wp:inline>
        </w:drawing>
      </w:r>
    </w:p>
    <w:p w:rsidR="00A90DD5" w:rsidRDefault="00155BB9">
      <w:pPr>
        <w:widowControl/>
        <w:spacing w:line="240" w:lineRule="auto"/>
        <w:rPr>
          <w:rFonts w:asciiTheme="minorEastAsia" w:eastAsiaTheme="minorEastAsia" w:hAnsi="宋体"/>
          <w:color w:val="000000" w:themeColor="text1"/>
          <w:szCs w:val="21"/>
        </w:rPr>
      </w:pPr>
      <w:r>
        <w:rPr>
          <w:noProof/>
        </w:rPr>
        <w:lastRenderedPageBreak/>
        <w:drawing>
          <wp:inline distT="0" distB="0" distL="0" distR="0">
            <wp:extent cx="5615940" cy="32943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15940" cy="3294380"/>
                    </a:xfrm>
                    <a:prstGeom prst="rect">
                      <a:avLst/>
                    </a:prstGeom>
                    <a:noFill/>
                    <a:ln>
                      <a:noFill/>
                    </a:ln>
                  </pic:spPr>
                </pic:pic>
              </a:graphicData>
            </a:graphic>
          </wp:inline>
        </w:drawing>
      </w: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155BB9">
      <w:pPr>
        <w:widowControl/>
        <w:spacing w:line="240" w:lineRule="auto"/>
        <w:rPr>
          <w:rFonts w:asciiTheme="minorEastAsia" w:eastAsiaTheme="minorEastAsia" w:hAnsi="宋体"/>
          <w:color w:val="000000" w:themeColor="text1"/>
          <w:szCs w:val="21"/>
        </w:rPr>
      </w:pPr>
      <w:r>
        <w:rPr>
          <w:noProof/>
        </w:rPr>
        <w:lastRenderedPageBreak/>
        <w:drawing>
          <wp:inline distT="0" distB="0" distL="0" distR="0">
            <wp:extent cx="5615940" cy="11588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615940" cy="1158875"/>
                    </a:xfrm>
                    <a:prstGeom prst="rect">
                      <a:avLst/>
                    </a:prstGeom>
                    <a:noFill/>
                    <a:ln>
                      <a:noFill/>
                    </a:ln>
                  </pic:spPr>
                </pic:pic>
              </a:graphicData>
            </a:graphic>
          </wp:inline>
        </w:drawing>
      </w: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155BB9">
      <w:pPr>
        <w:widowControl/>
        <w:spacing w:line="240" w:lineRule="auto"/>
        <w:rPr>
          <w:rFonts w:asciiTheme="minorEastAsia" w:eastAsiaTheme="minorEastAsia" w:hAnsi="宋体"/>
          <w:color w:val="000000" w:themeColor="text1"/>
          <w:szCs w:val="21"/>
        </w:rPr>
      </w:pPr>
      <w:r>
        <w:rPr>
          <w:noProof/>
        </w:rPr>
        <w:lastRenderedPageBreak/>
        <w:drawing>
          <wp:inline distT="0" distB="0" distL="0" distR="0">
            <wp:extent cx="5615940" cy="202501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615940" cy="2025015"/>
                    </a:xfrm>
                    <a:prstGeom prst="rect">
                      <a:avLst/>
                    </a:prstGeom>
                    <a:noFill/>
                    <a:ln>
                      <a:noFill/>
                    </a:ln>
                  </pic:spPr>
                </pic:pic>
              </a:graphicData>
            </a:graphic>
          </wp:inline>
        </w:drawing>
      </w: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A90DD5">
      <w:pPr>
        <w:widowControl/>
        <w:spacing w:line="240" w:lineRule="auto"/>
        <w:rPr>
          <w:rFonts w:asciiTheme="minorEastAsia" w:eastAsiaTheme="minorEastAsia" w:hAnsi="宋体"/>
          <w:color w:val="000000" w:themeColor="text1"/>
          <w:szCs w:val="21"/>
        </w:rPr>
      </w:pPr>
    </w:p>
    <w:p w:rsidR="00A90DD5" w:rsidRDefault="00155BB9">
      <w:pPr>
        <w:widowControl/>
        <w:spacing w:line="240" w:lineRule="auto"/>
        <w:rPr>
          <w:rFonts w:asciiTheme="minorEastAsia" w:eastAsiaTheme="minorEastAsia" w:hAnsi="宋体"/>
          <w:color w:val="000000" w:themeColor="text1"/>
          <w:szCs w:val="21"/>
        </w:rPr>
      </w:pPr>
      <w:r>
        <w:rPr>
          <w:noProof/>
        </w:rPr>
        <w:lastRenderedPageBreak/>
        <w:drawing>
          <wp:inline distT="0" distB="0" distL="0" distR="0">
            <wp:extent cx="5615940" cy="22352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615940" cy="2235200"/>
                    </a:xfrm>
                    <a:prstGeom prst="rect">
                      <a:avLst/>
                    </a:prstGeom>
                    <a:noFill/>
                    <a:ln>
                      <a:noFill/>
                    </a:ln>
                  </pic:spPr>
                </pic:pic>
              </a:graphicData>
            </a:graphic>
          </wp:inline>
        </w:drawing>
      </w:r>
    </w:p>
    <w:sectPr w:rsidR="00A90DD5">
      <w:pgSz w:w="11906" w:h="16838"/>
      <w:pgMar w:top="2098" w:right="1474" w:bottom="1984" w:left="1588"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709" w:rsidRDefault="00D70709" w:rsidP="00D70709">
      <w:pPr>
        <w:spacing w:after="0" w:line="240" w:lineRule="auto"/>
      </w:pPr>
      <w:r>
        <w:separator/>
      </w:r>
    </w:p>
  </w:endnote>
  <w:endnote w:type="continuationSeparator" w:id="0">
    <w:p w:rsidR="00D70709" w:rsidRDefault="00D70709" w:rsidP="00D7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charset w:val="00"/>
    <w:family w:val="roman"/>
    <w:pitch w:val="variable"/>
    <w:sig w:usb0="A00002EF" w:usb1="4000004B" w:usb2="00000000" w:usb3="00000000" w:csb0="0000019F" w:csb1="00000000"/>
  </w:font>
  <w:font w:name="黑体">
    <w:altName w:val="SimHei"/>
    <w:panose1 w:val="02010600030101010101"/>
    <w:charset w:val="86"/>
    <w:family w:val="modern"/>
    <w:pitch w:val="fixed"/>
    <w:sig w:usb0="800002BF" w:usb1="38CF7CFA" w:usb2="00000016" w:usb3="00000000" w:csb0="00040001" w:csb1="00000000"/>
    <w:embedRegular r:id="rId1" w:subsetted="1" w:fontKey="{20EBB0BF-8863-47BA-8E1C-22637E1B9202}"/>
  </w:font>
  <w:font w:name="Arial Unicode MS">
    <w:altName w:val="Arial"/>
    <w:panose1 w:val="020B0604020202020204"/>
    <w:charset w:val="00"/>
    <w:family w:val="auto"/>
    <w:pitch w:val="default"/>
  </w:font>
  <w:font w:name="楷体">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embedRegular r:id="rId2" w:subsetted="1" w:fontKey="{10E2589B-69D7-446E-B6AF-60E826DF9CAB}"/>
    <w:embedBold r:id="rId3" w:subsetted="1" w:fontKey="{671E971A-B9C1-4D43-AD8A-EF56E37C592F}"/>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楷体_GB2312">
    <w:altName w:val="楷体"/>
    <w:charset w:val="86"/>
    <w:family w:val="modern"/>
    <w:pitch w:val="default"/>
    <w:sig w:usb0="00000000" w:usb1="00000000" w:usb2="00000000" w:usb3="00000000" w:csb0="00040000" w:csb1="00000000"/>
    <w:embedBold r:id="rId4" w:subsetted="1" w:fontKey="{35C15D98-1A27-4038-B712-1190E7F5BDF5}"/>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709" w:rsidRDefault="00D70709" w:rsidP="00D70709">
      <w:pPr>
        <w:spacing w:after="0" w:line="240" w:lineRule="auto"/>
      </w:pPr>
      <w:r>
        <w:separator/>
      </w:r>
    </w:p>
  </w:footnote>
  <w:footnote w:type="continuationSeparator" w:id="0">
    <w:p w:rsidR="00D70709" w:rsidRDefault="00D70709" w:rsidP="00D70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B9A87"/>
    <w:multiLevelType w:val="singleLevel"/>
    <w:tmpl w:val="45DB9A87"/>
    <w:lvl w:ilvl="0">
      <w:start w:val="3"/>
      <w:numFmt w:val="chineseCounting"/>
      <w:suff w:val="nothing"/>
      <w:lvlText w:val="（%1）"/>
      <w:lvlJc w:val="left"/>
      <w:rPr>
        <w:rFonts w:hint="eastAsia"/>
      </w:rPr>
    </w:lvl>
  </w:abstractNum>
  <w:abstractNum w:abstractNumId="1" w15:restartNumberingAfterBreak="0">
    <w:nsid w:val="5F222FFA"/>
    <w:multiLevelType w:val="singleLevel"/>
    <w:tmpl w:val="5F222FFA"/>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saveSubset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413"/>
    <w:rsid w:val="00020FAF"/>
    <w:rsid w:val="00022474"/>
    <w:rsid w:val="00024E7F"/>
    <w:rsid w:val="000475A0"/>
    <w:rsid w:val="00067693"/>
    <w:rsid w:val="00071A78"/>
    <w:rsid w:val="000838C3"/>
    <w:rsid w:val="000B2446"/>
    <w:rsid w:val="000B3E55"/>
    <w:rsid w:val="000D7C65"/>
    <w:rsid w:val="000E2707"/>
    <w:rsid w:val="000E2F81"/>
    <w:rsid w:val="00101F8D"/>
    <w:rsid w:val="0011714A"/>
    <w:rsid w:val="00117946"/>
    <w:rsid w:val="00117E2C"/>
    <w:rsid w:val="00127819"/>
    <w:rsid w:val="00140394"/>
    <w:rsid w:val="00146C47"/>
    <w:rsid w:val="001474C5"/>
    <w:rsid w:val="00152FB8"/>
    <w:rsid w:val="00155BB9"/>
    <w:rsid w:val="001617C1"/>
    <w:rsid w:val="00164329"/>
    <w:rsid w:val="00166EAA"/>
    <w:rsid w:val="00176658"/>
    <w:rsid w:val="0018239E"/>
    <w:rsid w:val="001B3410"/>
    <w:rsid w:val="001B7503"/>
    <w:rsid w:val="001C030D"/>
    <w:rsid w:val="001C29CA"/>
    <w:rsid w:val="001C4A84"/>
    <w:rsid w:val="001D2D07"/>
    <w:rsid w:val="001E431F"/>
    <w:rsid w:val="001E5902"/>
    <w:rsid w:val="00210D86"/>
    <w:rsid w:val="00213773"/>
    <w:rsid w:val="00214EE6"/>
    <w:rsid w:val="00224A73"/>
    <w:rsid w:val="00233705"/>
    <w:rsid w:val="00240FB2"/>
    <w:rsid w:val="00246D99"/>
    <w:rsid w:val="00250145"/>
    <w:rsid w:val="00251B58"/>
    <w:rsid w:val="00257266"/>
    <w:rsid w:val="00262306"/>
    <w:rsid w:val="00273505"/>
    <w:rsid w:val="00275CA2"/>
    <w:rsid w:val="002A65A5"/>
    <w:rsid w:val="002B20DF"/>
    <w:rsid w:val="002C04C4"/>
    <w:rsid w:val="002D08B0"/>
    <w:rsid w:val="002D1120"/>
    <w:rsid w:val="002D1AE3"/>
    <w:rsid w:val="002F2ECE"/>
    <w:rsid w:val="00330FB0"/>
    <w:rsid w:val="00341C8F"/>
    <w:rsid w:val="00347601"/>
    <w:rsid w:val="0035463A"/>
    <w:rsid w:val="00391D9D"/>
    <w:rsid w:val="003A46D9"/>
    <w:rsid w:val="003B6C51"/>
    <w:rsid w:val="003C1413"/>
    <w:rsid w:val="003C549F"/>
    <w:rsid w:val="003D5A16"/>
    <w:rsid w:val="003E3DC2"/>
    <w:rsid w:val="003E71FD"/>
    <w:rsid w:val="003E7DB3"/>
    <w:rsid w:val="00400C87"/>
    <w:rsid w:val="0041168F"/>
    <w:rsid w:val="00414E99"/>
    <w:rsid w:val="004169B6"/>
    <w:rsid w:val="00425911"/>
    <w:rsid w:val="00431175"/>
    <w:rsid w:val="004374A3"/>
    <w:rsid w:val="00444F6F"/>
    <w:rsid w:val="00470B4F"/>
    <w:rsid w:val="00472FB1"/>
    <w:rsid w:val="00493686"/>
    <w:rsid w:val="004B6E37"/>
    <w:rsid w:val="004C32BA"/>
    <w:rsid w:val="004C68EF"/>
    <w:rsid w:val="004C6F49"/>
    <w:rsid w:val="004D1845"/>
    <w:rsid w:val="004D4466"/>
    <w:rsid w:val="004F067C"/>
    <w:rsid w:val="00575922"/>
    <w:rsid w:val="005A3C0D"/>
    <w:rsid w:val="005A6C90"/>
    <w:rsid w:val="005B37E6"/>
    <w:rsid w:val="005B7494"/>
    <w:rsid w:val="005D77F7"/>
    <w:rsid w:val="005E287E"/>
    <w:rsid w:val="005E369C"/>
    <w:rsid w:val="005E3FB0"/>
    <w:rsid w:val="005F47D5"/>
    <w:rsid w:val="005F4B66"/>
    <w:rsid w:val="005F5208"/>
    <w:rsid w:val="006055C2"/>
    <w:rsid w:val="00615C31"/>
    <w:rsid w:val="00636436"/>
    <w:rsid w:val="00641318"/>
    <w:rsid w:val="0064405D"/>
    <w:rsid w:val="006575C9"/>
    <w:rsid w:val="0067223D"/>
    <w:rsid w:val="00690E9F"/>
    <w:rsid w:val="00695557"/>
    <w:rsid w:val="006C3715"/>
    <w:rsid w:val="006D28E2"/>
    <w:rsid w:val="006D4EA7"/>
    <w:rsid w:val="006D6E5D"/>
    <w:rsid w:val="006E340D"/>
    <w:rsid w:val="006F58B0"/>
    <w:rsid w:val="0070012A"/>
    <w:rsid w:val="00701328"/>
    <w:rsid w:val="0070623F"/>
    <w:rsid w:val="0070664B"/>
    <w:rsid w:val="007071B8"/>
    <w:rsid w:val="0071149E"/>
    <w:rsid w:val="007155C2"/>
    <w:rsid w:val="007414DE"/>
    <w:rsid w:val="00747344"/>
    <w:rsid w:val="00760C0C"/>
    <w:rsid w:val="00767DDB"/>
    <w:rsid w:val="007905A9"/>
    <w:rsid w:val="007C7256"/>
    <w:rsid w:val="007D3A17"/>
    <w:rsid w:val="007E072B"/>
    <w:rsid w:val="007E5500"/>
    <w:rsid w:val="007F055B"/>
    <w:rsid w:val="00811C2F"/>
    <w:rsid w:val="00833D46"/>
    <w:rsid w:val="00836215"/>
    <w:rsid w:val="00840A97"/>
    <w:rsid w:val="008556A8"/>
    <w:rsid w:val="00872B02"/>
    <w:rsid w:val="00873292"/>
    <w:rsid w:val="0089698A"/>
    <w:rsid w:val="008A640A"/>
    <w:rsid w:val="008C0149"/>
    <w:rsid w:val="008C5828"/>
    <w:rsid w:val="008D5DED"/>
    <w:rsid w:val="008E04D1"/>
    <w:rsid w:val="008E25CA"/>
    <w:rsid w:val="008E315B"/>
    <w:rsid w:val="008F34FC"/>
    <w:rsid w:val="008F400D"/>
    <w:rsid w:val="009033D2"/>
    <w:rsid w:val="00910887"/>
    <w:rsid w:val="00940FAB"/>
    <w:rsid w:val="00944CD7"/>
    <w:rsid w:val="009504B6"/>
    <w:rsid w:val="009535A5"/>
    <w:rsid w:val="00955004"/>
    <w:rsid w:val="00961190"/>
    <w:rsid w:val="00961936"/>
    <w:rsid w:val="00973CCC"/>
    <w:rsid w:val="009831B2"/>
    <w:rsid w:val="00994D35"/>
    <w:rsid w:val="009A09F5"/>
    <w:rsid w:val="009A1ABE"/>
    <w:rsid w:val="009A6363"/>
    <w:rsid w:val="009B44E6"/>
    <w:rsid w:val="009E21A4"/>
    <w:rsid w:val="009F22C6"/>
    <w:rsid w:val="00A07E50"/>
    <w:rsid w:val="00A1251D"/>
    <w:rsid w:val="00A12C15"/>
    <w:rsid w:val="00A15397"/>
    <w:rsid w:val="00A1756E"/>
    <w:rsid w:val="00A22FEE"/>
    <w:rsid w:val="00A32B26"/>
    <w:rsid w:val="00A35CE0"/>
    <w:rsid w:val="00A4462E"/>
    <w:rsid w:val="00A44AA4"/>
    <w:rsid w:val="00A61623"/>
    <w:rsid w:val="00A84687"/>
    <w:rsid w:val="00A90DD5"/>
    <w:rsid w:val="00AA0458"/>
    <w:rsid w:val="00AB0A0E"/>
    <w:rsid w:val="00AB0A41"/>
    <w:rsid w:val="00AB6EAB"/>
    <w:rsid w:val="00AB7C30"/>
    <w:rsid w:val="00AD3B6E"/>
    <w:rsid w:val="00AE361E"/>
    <w:rsid w:val="00AF6D31"/>
    <w:rsid w:val="00B03D1E"/>
    <w:rsid w:val="00B12037"/>
    <w:rsid w:val="00B1751F"/>
    <w:rsid w:val="00B17566"/>
    <w:rsid w:val="00B31CC1"/>
    <w:rsid w:val="00B358EF"/>
    <w:rsid w:val="00B45C11"/>
    <w:rsid w:val="00B50F96"/>
    <w:rsid w:val="00B56722"/>
    <w:rsid w:val="00B67044"/>
    <w:rsid w:val="00B71785"/>
    <w:rsid w:val="00B74D39"/>
    <w:rsid w:val="00B76EC5"/>
    <w:rsid w:val="00B827C6"/>
    <w:rsid w:val="00B91DA4"/>
    <w:rsid w:val="00B947B0"/>
    <w:rsid w:val="00BA54EB"/>
    <w:rsid w:val="00BA7174"/>
    <w:rsid w:val="00BB3E41"/>
    <w:rsid w:val="00BF157A"/>
    <w:rsid w:val="00C12630"/>
    <w:rsid w:val="00C1492E"/>
    <w:rsid w:val="00C278BC"/>
    <w:rsid w:val="00C27BF7"/>
    <w:rsid w:val="00C34562"/>
    <w:rsid w:val="00C3774E"/>
    <w:rsid w:val="00C57456"/>
    <w:rsid w:val="00C65387"/>
    <w:rsid w:val="00C7493E"/>
    <w:rsid w:val="00C87FAB"/>
    <w:rsid w:val="00C91FF7"/>
    <w:rsid w:val="00C9275E"/>
    <w:rsid w:val="00C92D15"/>
    <w:rsid w:val="00C94E53"/>
    <w:rsid w:val="00C95C80"/>
    <w:rsid w:val="00CB2853"/>
    <w:rsid w:val="00CC2359"/>
    <w:rsid w:val="00CC4BD3"/>
    <w:rsid w:val="00CD4BF5"/>
    <w:rsid w:val="00CD7D35"/>
    <w:rsid w:val="00CE3FC3"/>
    <w:rsid w:val="00CE61A8"/>
    <w:rsid w:val="00CF15AF"/>
    <w:rsid w:val="00D0048E"/>
    <w:rsid w:val="00D05E96"/>
    <w:rsid w:val="00D13FB8"/>
    <w:rsid w:val="00D23E7A"/>
    <w:rsid w:val="00D34016"/>
    <w:rsid w:val="00D56D8F"/>
    <w:rsid w:val="00D61063"/>
    <w:rsid w:val="00D70709"/>
    <w:rsid w:val="00D85D6D"/>
    <w:rsid w:val="00DB35AF"/>
    <w:rsid w:val="00DB6E42"/>
    <w:rsid w:val="00DC57C5"/>
    <w:rsid w:val="00DD7210"/>
    <w:rsid w:val="00DD72D7"/>
    <w:rsid w:val="00DF5B88"/>
    <w:rsid w:val="00E00934"/>
    <w:rsid w:val="00E04A7D"/>
    <w:rsid w:val="00E0589E"/>
    <w:rsid w:val="00E0697F"/>
    <w:rsid w:val="00E241FA"/>
    <w:rsid w:val="00E2595E"/>
    <w:rsid w:val="00E312D1"/>
    <w:rsid w:val="00E35374"/>
    <w:rsid w:val="00E426ED"/>
    <w:rsid w:val="00E46296"/>
    <w:rsid w:val="00E50C19"/>
    <w:rsid w:val="00E64655"/>
    <w:rsid w:val="00E72B37"/>
    <w:rsid w:val="00E73081"/>
    <w:rsid w:val="00E81541"/>
    <w:rsid w:val="00E82439"/>
    <w:rsid w:val="00E838BC"/>
    <w:rsid w:val="00E856C9"/>
    <w:rsid w:val="00EA4F68"/>
    <w:rsid w:val="00EB6A8B"/>
    <w:rsid w:val="00EC2916"/>
    <w:rsid w:val="00EC5072"/>
    <w:rsid w:val="00EC6814"/>
    <w:rsid w:val="00ED411D"/>
    <w:rsid w:val="00EF070A"/>
    <w:rsid w:val="00EF38C6"/>
    <w:rsid w:val="00F40BEB"/>
    <w:rsid w:val="00F679C7"/>
    <w:rsid w:val="00F7711A"/>
    <w:rsid w:val="00F80C72"/>
    <w:rsid w:val="00FA0D58"/>
    <w:rsid w:val="00FA1580"/>
    <w:rsid w:val="00FA317B"/>
    <w:rsid w:val="00FA56F4"/>
    <w:rsid w:val="00FB4EDA"/>
    <w:rsid w:val="00FC7B50"/>
    <w:rsid w:val="00FD3BAF"/>
    <w:rsid w:val="00FD3BD5"/>
    <w:rsid w:val="00FE10EF"/>
    <w:rsid w:val="00FE3DC8"/>
    <w:rsid w:val="00FF4331"/>
    <w:rsid w:val="013F747B"/>
    <w:rsid w:val="04073F84"/>
    <w:rsid w:val="04C16C39"/>
    <w:rsid w:val="0B60750A"/>
    <w:rsid w:val="10686488"/>
    <w:rsid w:val="10DF728A"/>
    <w:rsid w:val="1264200E"/>
    <w:rsid w:val="141C5B77"/>
    <w:rsid w:val="18D8339D"/>
    <w:rsid w:val="1A21388F"/>
    <w:rsid w:val="1A570D2F"/>
    <w:rsid w:val="28FB0B8D"/>
    <w:rsid w:val="2C734B9B"/>
    <w:rsid w:val="2D2B7942"/>
    <w:rsid w:val="2D46481D"/>
    <w:rsid w:val="2E733B28"/>
    <w:rsid w:val="31852B5A"/>
    <w:rsid w:val="32D01238"/>
    <w:rsid w:val="3AE411CD"/>
    <w:rsid w:val="3DFC59A8"/>
    <w:rsid w:val="3ECF245E"/>
    <w:rsid w:val="3FB96314"/>
    <w:rsid w:val="4A2A2A6F"/>
    <w:rsid w:val="53A44FAF"/>
    <w:rsid w:val="594329EC"/>
    <w:rsid w:val="5BEE1540"/>
    <w:rsid w:val="5DE61A5D"/>
    <w:rsid w:val="63C04243"/>
    <w:rsid w:val="649C01C7"/>
    <w:rsid w:val="699A3F60"/>
    <w:rsid w:val="72902E62"/>
    <w:rsid w:val="73C61104"/>
    <w:rsid w:val="753A1BF5"/>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C89F6"/>
  <w15:docId w15:val="{DD8BCF5D-A872-4C6B-ABF1-9142D428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spacing w:after="160" w:line="480" w:lineRule="auto"/>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Subtitle"/>
    <w:basedOn w:val="a"/>
    <w:next w:val="a"/>
    <w:link w:val="ae"/>
    <w:uiPriority w:val="11"/>
    <w:qFormat/>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f">
    <w:name w:val="Title"/>
    <w:basedOn w:val="a"/>
    <w:next w:val="a"/>
    <w:link w:val="af0"/>
    <w:uiPriority w:val="10"/>
    <w:qFormat/>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f1">
    <w:name w:val="Table Grid"/>
    <w:basedOn w:val="a1"/>
    <w:uiPriority w:val="1"/>
    <w:qFormat/>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2">
    <w:name w:val="No Spacing"/>
    <w:link w:val="af3"/>
    <w:uiPriority w:val="1"/>
    <w:qFormat/>
    <w:pPr>
      <w:spacing w:after="160" w:line="480" w:lineRule="auto"/>
    </w:pPr>
    <w:rPr>
      <w:rFonts w:asciiTheme="minorHAnsi" w:eastAsiaTheme="minorEastAsia" w:hAnsiTheme="minorHAnsi" w:cstheme="minorBidi"/>
      <w:sz w:val="22"/>
      <w:szCs w:val="22"/>
    </w:rPr>
  </w:style>
  <w:style w:type="character" w:customStyle="1" w:styleId="af3">
    <w:name w:val="无间隔 字符"/>
    <w:basedOn w:val="a0"/>
    <w:link w:val="af2"/>
    <w:uiPriority w:val="1"/>
    <w:qFormat/>
    <w:rPr>
      <w:kern w:val="0"/>
      <w:sz w:val="22"/>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f0">
    <w:name w:val="标题 字符"/>
    <w:basedOn w:val="a0"/>
    <w:link w:val="af"/>
    <w:uiPriority w:val="10"/>
    <w:qFormat/>
    <w:rPr>
      <w:rFonts w:asciiTheme="majorHAnsi" w:eastAsiaTheme="majorEastAsia" w:hAnsiTheme="majorHAnsi" w:cstheme="majorBidi"/>
      <w:color w:val="3A2C24" w:themeColor="text2" w:themeShade="BF"/>
      <w:spacing w:val="5"/>
      <w:kern w:val="28"/>
      <w:sz w:val="52"/>
      <w:szCs w:val="52"/>
    </w:rPr>
  </w:style>
  <w:style w:type="character" w:customStyle="1" w:styleId="ae">
    <w:name w:val="副标题 字符"/>
    <w:basedOn w:val="a0"/>
    <w:link w:val="ad"/>
    <w:uiPriority w:val="11"/>
    <w:qFormat/>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Pr>
      <w:rFonts w:asciiTheme="minorHAnsi" w:eastAsiaTheme="minorEastAsia" w:hAnsiTheme="minorEastAsia" w:cstheme="minorBidi"/>
      <w:sz w:val="22"/>
      <w:szCs w:val="22"/>
      <w:lang w:eastAsia="zh-CN"/>
    </w:rPr>
  </w:style>
  <w:style w:type="character" w:customStyle="1" w:styleId="Style2">
    <w:name w:val="Style2"/>
    <w:basedOn w:val="a0"/>
    <w:uiPriority w:val="1"/>
    <w:qFormat/>
    <w:rPr>
      <w:rFonts w:asciiTheme="minorHAnsi" w:eastAsiaTheme="minorEastAsia" w:hAnsiTheme="minorEastAsia" w:cstheme="minorBidi"/>
      <w:sz w:val="22"/>
      <w:szCs w:val="22"/>
      <w:lang w:eastAsia="zh-CN"/>
    </w:rPr>
  </w:style>
  <w:style w:type="character" w:customStyle="1" w:styleId="Style3">
    <w:name w:val="Style3"/>
    <w:basedOn w:val="a0"/>
    <w:uiPriority w:val="1"/>
    <w:qFormat/>
    <w:rPr>
      <w:rFonts w:asciiTheme="minorHAnsi" w:eastAsiaTheme="minorEastAsia" w:hAnsiTheme="minorEastAsia" w:cstheme="minorBidi"/>
      <w:szCs w:val="22"/>
      <w:lang w:eastAsia="zh-CN"/>
    </w:rPr>
  </w:style>
  <w:style w:type="character" w:customStyle="1" w:styleId="Style4">
    <w:name w:val="Style4"/>
    <w:basedOn w:val="a0"/>
    <w:uiPriority w:val="1"/>
    <w:qFormat/>
    <w:rPr>
      <w:rFonts w:asciiTheme="minorHAnsi" w:eastAsiaTheme="minorEastAsia" w:hAnsiTheme="minorEastAsia" w:cstheme="minorBidi"/>
      <w:szCs w:val="22"/>
      <w:lang w:eastAsia="zh-CN"/>
    </w:rPr>
  </w:style>
  <w:style w:type="character" w:customStyle="1" w:styleId="Style5">
    <w:name w:val="Style5"/>
    <w:basedOn w:val="a0"/>
    <w:uiPriority w:val="1"/>
    <w:qFormat/>
    <w:rPr>
      <w:rFonts w:asciiTheme="minorHAnsi" w:eastAsiaTheme="minorEastAsia" w:hAnsiTheme="minorEastAsia" w:cstheme="minorBidi"/>
      <w:sz w:val="22"/>
      <w:szCs w:val="22"/>
      <w:lang w:eastAsia="zh-CN"/>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rFonts w:ascii="Times New Roman" w:eastAsia="宋体" w:hAnsi="Times New Roman" w:cs="Times New Roman"/>
      <w:b/>
      <w:bCs/>
      <w:sz w:val="32"/>
      <w:szCs w:val="32"/>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character" w:customStyle="1" w:styleId="a6">
    <w:name w:val="日期 字符"/>
    <w:basedOn w:val="a0"/>
    <w:link w:val="a5"/>
    <w:uiPriority w:val="99"/>
    <w:semiHidden/>
    <w:qFormat/>
    <w:rPr>
      <w:rFonts w:ascii="Times New Roman" w:eastAsia="宋体" w:hAnsi="Times New Roman" w:cs="Times New Roman"/>
      <w:szCs w:val="24"/>
    </w:rPr>
  </w:style>
  <w:style w:type="paragraph" w:styleId="af4">
    <w:name w:val="List Paragraph"/>
    <w:basedOn w:val="a"/>
    <w:uiPriority w:val="99"/>
    <w:unhideWhenUsed/>
    <w:qFormat/>
    <w:pPr>
      <w:ind w:firstLineChars="200" w:firstLine="420"/>
    </w:pPr>
  </w:style>
  <w:style w:type="character" w:customStyle="1" w:styleId="a4">
    <w:name w:val="文档结构图 字符"/>
    <w:basedOn w:val="a0"/>
    <w:link w:val="a3"/>
    <w:uiPriority w:val="99"/>
    <w:semiHidden/>
    <w:qFormat/>
    <w:rPr>
      <w:rFonts w:ascii="宋体"/>
      <w:kern w:val="2"/>
      <w:sz w:val="18"/>
      <w:szCs w:val="18"/>
    </w:rPr>
  </w:style>
  <w:style w:type="character" w:customStyle="1" w:styleId="font31">
    <w:name w:val="font31"/>
    <w:basedOn w:val="a0"/>
    <w:qFormat/>
    <w:rPr>
      <w:rFonts w:ascii="宋体" w:eastAsia="宋体" w:hAnsi="宋体" w:cs="宋体" w:hint="eastAsia"/>
      <w:color w:val="000000"/>
      <w:sz w:val="16"/>
      <w:szCs w:val="16"/>
      <w:u w:val="none"/>
    </w:rPr>
  </w:style>
  <w:style w:type="character" w:customStyle="1" w:styleId="font41">
    <w:name w:val="font41"/>
    <w:basedOn w:val="a0"/>
    <w:qFormat/>
    <w:rPr>
      <w:rFonts w:ascii="Calibri" w:hAnsi="Calibri" w:cs="Calibri"/>
      <w:color w:val="000000"/>
      <w:sz w:val="16"/>
      <w:szCs w:val="16"/>
      <w:u w:val="none"/>
    </w:rPr>
  </w:style>
  <w:style w:type="character" w:customStyle="1" w:styleId="font01">
    <w:name w:val="font01"/>
    <w:basedOn w:val="a0"/>
    <w:qFormat/>
    <w:rPr>
      <w:rFonts w:ascii="Arial Unicode MS" w:eastAsia="Arial Unicode MS" w:hAnsi="Arial Unicode MS" w:cs="Arial Unicode MS"/>
      <w:color w:val="000000"/>
      <w:sz w:val="16"/>
      <w:szCs w:val="16"/>
      <w:u w:val="none"/>
    </w:rPr>
  </w:style>
  <w:style w:type="character" w:customStyle="1" w:styleId="font81">
    <w:name w:val="font81"/>
    <w:basedOn w:val="a0"/>
    <w:qFormat/>
    <w:rPr>
      <w:rFonts w:ascii="宋体" w:eastAsia="宋体" w:hAnsi="宋体" w:cs="宋体" w:hint="eastAsia"/>
      <w:color w:val="000000"/>
      <w:sz w:val="16"/>
      <w:szCs w:val="16"/>
      <w:u w:val="none"/>
    </w:rPr>
  </w:style>
  <w:style w:type="character" w:customStyle="1" w:styleId="font21">
    <w:name w:val="font21"/>
    <w:basedOn w:val="a0"/>
    <w:qFormat/>
    <w:rPr>
      <w:rFonts w:ascii="Calibri" w:hAnsi="Calibri" w:cs="Calibri"/>
      <w:color w:val="000000"/>
      <w:sz w:val="16"/>
      <w:szCs w:val="16"/>
      <w:u w:val="none"/>
    </w:rPr>
  </w:style>
  <w:style w:type="character" w:customStyle="1" w:styleId="font51">
    <w:name w:val="font51"/>
    <w:basedOn w:val="a0"/>
    <w:rPr>
      <w:rFonts w:ascii="宋体" w:eastAsia="宋体" w:hAnsi="宋体" w:cs="宋体" w:hint="eastAsia"/>
      <w:color w:val="000000"/>
      <w:sz w:val="16"/>
      <w:szCs w:val="16"/>
      <w:u w:val="none"/>
    </w:rPr>
  </w:style>
  <w:style w:type="character" w:customStyle="1" w:styleId="font111">
    <w:name w:val="font111"/>
    <w:basedOn w:val="a0"/>
    <w:rPr>
      <w:rFonts w:ascii="Calibri" w:hAnsi="Calibri" w:cs="Calibri"/>
      <w:color w:val="000000"/>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DEE0E5-B8EC-436F-A080-079D50E4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43</Pages>
  <Words>1900</Words>
  <Characters>10836</Characters>
  <Application>Microsoft Office Word</Application>
  <DocSecurity>0</DocSecurity>
  <Lines>90</Lines>
  <Paragraphs>25</Paragraphs>
  <ScaleCrop>false</ScaleCrop>
  <Company>Microsoft</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lenovo</cp:lastModifiedBy>
  <cp:revision>98</cp:revision>
  <cp:lastPrinted>2019-09-27T00:42:00Z</cp:lastPrinted>
  <dcterms:created xsi:type="dcterms:W3CDTF">2019-09-26T01:09:00Z</dcterms:created>
  <dcterms:modified xsi:type="dcterms:W3CDTF">2021-04-29T03:09:00Z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